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_GBK" w:eastAsia="方正小标宋_GBK" w:hAnsiTheme="minorEastAsia"/>
          <w:b w:val="0"/>
          <w:color w:val="auto"/>
          <w:sz w:val="36"/>
          <w:szCs w:val="36"/>
        </w:rPr>
      </w:pPr>
      <w:r>
        <w:rPr>
          <w:rStyle w:val="8"/>
          <w:rFonts w:hint="eastAsia" w:ascii="方正小标宋_GBK" w:eastAsia="方正小标宋_GBK" w:hAnsiTheme="minorEastAsia"/>
          <w:b w:val="0"/>
          <w:color w:val="auto"/>
          <w:sz w:val="36"/>
          <w:szCs w:val="36"/>
        </w:rPr>
        <w:t>晋城市城区202</w:t>
      </w:r>
      <w:r>
        <w:rPr>
          <w:rStyle w:val="8"/>
          <w:rFonts w:ascii="方正小标宋_GBK" w:eastAsia="方正小标宋_GBK" w:hAnsiTheme="minorEastAsia"/>
          <w:b w:val="0"/>
          <w:color w:val="auto"/>
          <w:sz w:val="36"/>
          <w:szCs w:val="36"/>
        </w:rPr>
        <w:t>3</w:t>
      </w:r>
      <w:r>
        <w:rPr>
          <w:rStyle w:val="8"/>
          <w:rFonts w:hint="eastAsia" w:ascii="方正小标宋_GBK" w:eastAsia="方正小标宋_GBK" w:hAnsiTheme="minorEastAsia"/>
          <w:b w:val="0"/>
          <w:color w:val="auto"/>
          <w:sz w:val="36"/>
          <w:szCs w:val="36"/>
        </w:rPr>
        <w:t>年国民经济和社会发展</w:t>
      </w:r>
    </w:p>
    <w:p>
      <w:pPr>
        <w:jc w:val="center"/>
        <w:rPr>
          <w:rStyle w:val="8"/>
          <w:rFonts w:ascii="方正小标宋_GBK" w:eastAsia="方正小标宋_GBK" w:hAnsiTheme="minorEastAsia"/>
          <w:b w:val="0"/>
          <w:color w:val="auto"/>
          <w:sz w:val="36"/>
          <w:szCs w:val="36"/>
        </w:rPr>
      </w:pPr>
      <w:r>
        <w:rPr>
          <w:rStyle w:val="8"/>
          <w:rFonts w:hint="eastAsia" w:ascii="方正小标宋_GBK" w:eastAsia="方正小标宋_GBK" w:hAnsiTheme="minorEastAsia"/>
          <w:b w:val="0"/>
          <w:color w:val="auto"/>
          <w:sz w:val="36"/>
          <w:szCs w:val="36"/>
        </w:rPr>
        <w:t>统计公报</w:t>
      </w: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晋城市城区统计局</w:t>
      </w:r>
    </w:p>
    <w:p>
      <w:pPr>
        <w:widowControl/>
        <w:wordWrap w:val="0"/>
        <w:spacing w:after="100" w:afterAutospacing="1" w:line="480" w:lineRule="auto"/>
        <w:jc w:val="center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202</w:t>
      </w:r>
      <w:r>
        <w:rPr>
          <w:rFonts w:ascii="宋体" w:hAnsi="宋体" w:eastAsia="宋体" w:cs="宋体"/>
          <w:color w:val="auto"/>
          <w:kern w:val="0"/>
          <w:sz w:val="24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</w:rPr>
        <w:t xml:space="preserve">年 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</w:t>
      </w:r>
      <w:r>
        <w:rPr>
          <w:rFonts w:ascii="宋体" w:hAnsi="宋体" w:eastAsia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15</w:t>
      </w:r>
      <w:r>
        <w:rPr>
          <w:rFonts w:ascii="宋体" w:hAnsi="宋体" w:eastAsia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日</w:t>
      </w:r>
    </w:p>
    <w:p>
      <w:pPr>
        <w:widowControl/>
        <w:spacing w:before="100" w:beforeAutospacing="1" w:after="100" w:afterAutospacing="1" w:line="600" w:lineRule="exac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kern w:val="0"/>
          <w:sz w:val="24"/>
        </w:rPr>
        <w:t xml:space="preserve"> 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023年，是全面贯彻党的二十大精神的开局之年，是城区发展史上极其重要、极不平凡的一年。全区坚持以习近平新时代中国特色社会主义思想为指导，全面贯彻党的二十大和二十届二中全会精神，坚决落实习近平总书记对山西工作的重要讲话重要指示精神，认真执行中央、省、市和区委决策部署，坚持用好“六化工作方法”，锚定城市“双核”目标定位，团结一心、埋头苦干，统筹稳增长、调结构，促转型、惠民生，防风险、保安全等各项工作，民生保障有力有效，社会大局和谐稳定，推动高质量发展迈出更坚实步伐。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一、综    合</w:t>
      </w:r>
    </w:p>
    <w:p>
      <w:pPr>
        <w:widowControl/>
        <w:spacing w:line="600" w:lineRule="exact"/>
        <w:ind w:left="2" w:leftChars="1"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据202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年人口抽样调查，年末全区常住人口为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586025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人，比上年末增加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928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人，常住人口性别比为9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8.15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%（以女性人口=100）。全年出生人口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4227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人，出生率为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7.22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‰；死亡人口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3642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人，死亡率为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6.22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‰；自然增长率为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1.00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‰。年末全区户籍总人口为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431519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人，比上年末增加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7078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人，其中男性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213746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人。</w:t>
      </w:r>
    </w:p>
    <w:p>
      <w:pPr>
        <w:widowControl/>
        <w:spacing w:line="600" w:lineRule="exact"/>
        <w:ind w:left="2" w:leftChars="1"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初步核算，全年全区实现生产总值</w:t>
      </w:r>
      <w:r>
        <w:rPr>
          <w:rFonts w:ascii="宋体" w:hAnsi="宋体" w:eastAsia="宋体" w:cs="宋体"/>
          <w:color w:val="auto"/>
          <w:kern w:val="0"/>
          <w:sz w:val="24"/>
        </w:rPr>
        <w:t>3290683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6.1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%。其中，第一产业增加值</w:t>
      </w:r>
      <w:r>
        <w:rPr>
          <w:rFonts w:ascii="宋体" w:hAnsi="宋体" w:eastAsia="宋体" w:cs="宋体"/>
          <w:color w:val="auto"/>
          <w:kern w:val="0"/>
          <w:sz w:val="24"/>
        </w:rPr>
        <w:t>8398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4.1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%，占生产总值的比重为0.3%；第二产业增加值42</w:t>
      </w:r>
      <w:r>
        <w:rPr>
          <w:rFonts w:ascii="宋体" w:hAnsi="宋体" w:eastAsia="宋体" w:cs="宋体"/>
          <w:color w:val="auto"/>
          <w:kern w:val="0"/>
          <w:sz w:val="24"/>
        </w:rPr>
        <w:t>4850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万元，增长3.</w:t>
      </w:r>
      <w:r>
        <w:rPr>
          <w:rFonts w:ascii="宋体" w:hAnsi="宋体" w:eastAsia="宋体" w:cs="宋体"/>
          <w:color w:val="auto"/>
          <w:kern w:val="0"/>
          <w:sz w:val="24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%，占生产总值的比重为1</w:t>
      </w:r>
      <w:r>
        <w:rPr>
          <w:rFonts w:ascii="宋体" w:hAnsi="宋体" w:eastAsia="宋体" w:cs="宋体"/>
          <w:color w:val="auto"/>
          <w:kern w:val="0"/>
          <w:sz w:val="24"/>
        </w:rPr>
        <w:t>2.9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%；第三产业增加值</w:t>
      </w:r>
      <w:r>
        <w:rPr>
          <w:rFonts w:ascii="宋体" w:hAnsi="宋体" w:eastAsia="宋体" w:cs="宋体"/>
          <w:color w:val="auto"/>
          <w:kern w:val="0"/>
          <w:sz w:val="24"/>
        </w:rPr>
        <w:t>2857435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6.5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%，占生产总值的比重为</w:t>
      </w:r>
      <w:r>
        <w:rPr>
          <w:rFonts w:ascii="宋体" w:hAnsi="宋体" w:eastAsia="宋体" w:cs="宋体"/>
          <w:color w:val="auto"/>
          <w:kern w:val="0"/>
          <w:sz w:val="24"/>
        </w:rPr>
        <w:t>86.8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600" w:lineRule="exact"/>
        <w:ind w:left="2" w:leftChars="1"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全年全区生产总值（含开发区）</w:t>
      </w:r>
      <w:r>
        <w:rPr>
          <w:rFonts w:ascii="宋体" w:hAnsi="宋体" w:eastAsia="宋体" w:cs="宋体"/>
          <w:color w:val="auto"/>
          <w:kern w:val="0"/>
          <w:sz w:val="24"/>
        </w:rPr>
        <w:t>4310082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3.5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%。其中，第一产业增加值8</w:t>
      </w:r>
      <w:r>
        <w:rPr>
          <w:rFonts w:ascii="宋体" w:hAnsi="宋体" w:eastAsia="宋体" w:cs="宋体"/>
          <w:color w:val="auto"/>
          <w:kern w:val="0"/>
          <w:sz w:val="24"/>
        </w:rPr>
        <w:t>398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4.1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%，占生产总值的比重为0.2%；第二产业增加值</w:t>
      </w:r>
      <w:r>
        <w:rPr>
          <w:rFonts w:ascii="宋体" w:hAnsi="宋体" w:eastAsia="宋体" w:cs="宋体"/>
          <w:color w:val="auto"/>
          <w:kern w:val="0"/>
          <w:sz w:val="24"/>
        </w:rPr>
        <w:t>1004982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万元，下降</w:t>
      </w:r>
      <w:r>
        <w:rPr>
          <w:rFonts w:ascii="宋体" w:hAnsi="宋体" w:eastAsia="宋体" w:cs="宋体"/>
          <w:color w:val="auto"/>
          <w:kern w:val="0"/>
          <w:sz w:val="24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.0%，占生产总值的比重为2</w:t>
      </w:r>
      <w:r>
        <w:rPr>
          <w:rFonts w:ascii="宋体" w:hAnsi="宋体" w:eastAsia="宋体" w:cs="宋体"/>
          <w:color w:val="auto"/>
          <w:kern w:val="0"/>
          <w:sz w:val="24"/>
        </w:rPr>
        <w:t>3.3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%；第三产业增加值</w:t>
      </w:r>
      <w:r>
        <w:rPr>
          <w:rFonts w:ascii="宋体" w:hAnsi="宋体" w:eastAsia="宋体" w:cs="宋体"/>
          <w:color w:val="auto"/>
          <w:kern w:val="0"/>
          <w:sz w:val="24"/>
        </w:rPr>
        <w:t>329670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4.9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%，占生产总值的比重为7</w:t>
      </w:r>
      <w:r>
        <w:rPr>
          <w:rFonts w:ascii="宋体" w:hAnsi="宋体" w:eastAsia="宋体" w:cs="宋体"/>
          <w:color w:val="auto"/>
          <w:kern w:val="0"/>
          <w:sz w:val="24"/>
        </w:rPr>
        <w:t>6.5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%。人均地区生产总值7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3606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元，比上年增长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tabs>
          <w:tab w:val="left" w:pos="7020"/>
        </w:tabs>
        <w:spacing w:line="600" w:lineRule="exact"/>
        <w:ind w:firstLine="1687" w:firstLineChars="700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图1  201</w:t>
      </w:r>
      <w:r>
        <w:rPr>
          <w:rFonts w:ascii="宋体" w:hAnsi="宋体" w:cs="宋体"/>
          <w:b/>
          <w:color w:val="auto"/>
          <w:kern w:val="0"/>
          <w:sz w:val="24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ascii="宋体" w:hAnsi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年全区生产总值及增长速度</w:t>
      </w:r>
    </w:p>
    <w:p>
      <w:pPr>
        <w:widowControl/>
        <w:wordWrap w:val="0"/>
        <w:spacing w:line="480" w:lineRule="auto"/>
        <w:jc w:val="left"/>
        <w:rPr>
          <w:rFonts w:ascii="宋体" w:hAnsi="宋体" w:eastAsia="宋体" w:cs="宋体"/>
          <w:color w:val="auto"/>
          <w:kern w:val="0"/>
          <w:sz w:val="24"/>
        </w:rPr>
      </w:pPr>
      <w:bookmarkStart w:id="3" w:name="_GoBack"/>
      <w:r>
        <w:rPr>
          <w:color w:val="auto"/>
        </w:rPr>
        <w:drawing>
          <wp:inline distT="0" distB="0" distL="0" distR="0">
            <wp:extent cx="5274310" cy="3028950"/>
            <wp:effectExtent l="0" t="0" r="2540" b="0"/>
            <wp:docPr id="30172641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3"/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全年全区财政总收入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618483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万元，比上年增收</w:t>
      </w:r>
      <w:r>
        <w:rPr>
          <w:rFonts w:ascii="宋体" w:hAnsi="宋体" w:eastAsia="宋体" w:cs="宋体"/>
          <w:color w:val="auto"/>
          <w:kern w:val="0"/>
          <w:sz w:val="24"/>
        </w:rPr>
        <w:t>397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6.9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%。一般公共预算收入</w:t>
      </w:r>
      <w:r>
        <w:rPr>
          <w:rFonts w:ascii="宋体" w:hAnsi="宋体" w:eastAsia="宋体" w:cs="宋体"/>
          <w:color w:val="auto"/>
          <w:kern w:val="0"/>
          <w:sz w:val="24"/>
        </w:rPr>
        <w:t>169358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万元，比上年增收</w:t>
      </w:r>
      <w:r>
        <w:rPr>
          <w:rFonts w:ascii="宋体" w:hAnsi="宋体" w:eastAsia="宋体" w:cs="宋体"/>
          <w:color w:val="auto"/>
          <w:kern w:val="0"/>
          <w:sz w:val="24"/>
        </w:rPr>
        <w:t>11741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7.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%。其中，税收收入90</w:t>
      </w:r>
      <w:r>
        <w:rPr>
          <w:rFonts w:ascii="宋体" w:hAnsi="宋体" w:eastAsia="宋体" w:cs="宋体"/>
          <w:color w:val="auto"/>
          <w:kern w:val="0"/>
          <w:sz w:val="24"/>
        </w:rPr>
        <w:t>076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万元，减收</w:t>
      </w:r>
      <w:r>
        <w:rPr>
          <w:rFonts w:ascii="宋体" w:hAnsi="宋体" w:eastAsia="宋体" w:cs="宋体"/>
          <w:color w:val="auto"/>
          <w:kern w:val="0"/>
          <w:sz w:val="24"/>
        </w:rPr>
        <w:t>911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万元，下降</w:t>
      </w:r>
      <w:r>
        <w:rPr>
          <w:rFonts w:ascii="宋体" w:hAnsi="宋体" w:eastAsia="宋体" w:cs="宋体"/>
          <w:color w:val="auto"/>
          <w:kern w:val="0"/>
          <w:sz w:val="24"/>
        </w:rPr>
        <w:t>1.0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%；非税收入</w:t>
      </w:r>
      <w:r>
        <w:rPr>
          <w:rFonts w:ascii="宋体" w:hAnsi="宋体" w:eastAsia="宋体" w:cs="宋体"/>
          <w:color w:val="auto"/>
          <w:kern w:val="0"/>
          <w:sz w:val="24"/>
        </w:rPr>
        <w:t>79282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万元，增收</w:t>
      </w:r>
      <w:r>
        <w:rPr>
          <w:rFonts w:ascii="宋体" w:hAnsi="宋体" w:eastAsia="宋体" w:cs="宋体"/>
          <w:color w:val="auto"/>
          <w:kern w:val="0"/>
          <w:sz w:val="24"/>
        </w:rPr>
        <w:t>12652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19.0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%。全年增值税留抵退税退还</w:t>
      </w:r>
      <w:r>
        <w:rPr>
          <w:rFonts w:ascii="宋体" w:hAnsi="宋体" w:eastAsia="宋体" w:cs="宋体"/>
          <w:color w:val="auto"/>
          <w:kern w:val="0"/>
          <w:sz w:val="24"/>
        </w:rPr>
        <w:t>0.7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亿元，退税额减少5</w:t>
      </w:r>
      <w:r>
        <w:rPr>
          <w:rFonts w:ascii="宋体" w:hAnsi="宋体" w:eastAsia="宋体" w:cs="宋体"/>
          <w:color w:val="auto"/>
          <w:kern w:val="0"/>
          <w:sz w:val="24"/>
        </w:rPr>
        <w:t>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亿元。</w:t>
      </w:r>
    </w:p>
    <w:p>
      <w:pPr>
        <w:widowControl/>
        <w:tabs>
          <w:tab w:val="left" w:pos="7020"/>
        </w:tabs>
        <w:spacing w:line="480" w:lineRule="auto"/>
        <w:jc w:val="center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图2  201</w:t>
      </w:r>
      <w:r>
        <w:rPr>
          <w:rFonts w:ascii="宋体" w:hAnsi="宋体" w:cs="宋体"/>
          <w:b/>
          <w:color w:val="auto"/>
          <w:kern w:val="0"/>
          <w:sz w:val="24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ascii="宋体" w:hAnsi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年一般公共预算收入及增长速度</w:t>
      </w:r>
    </w:p>
    <w:p>
      <w:pPr>
        <w:widowControl/>
        <w:tabs>
          <w:tab w:val="left" w:pos="7020"/>
        </w:tabs>
        <w:spacing w:line="480" w:lineRule="auto"/>
        <w:rPr>
          <w:rFonts w:ascii="宋体" w:hAnsi="宋体" w:cs="宋体"/>
          <w:b/>
          <w:color w:val="auto"/>
          <w:kern w:val="0"/>
          <w:sz w:val="24"/>
        </w:rPr>
      </w:pPr>
      <w:r>
        <w:rPr>
          <w:color w:val="auto"/>
        </w:rPr>
        <w:drawing>
          <wp:inline distT="0" distB="0" distL="0" distR="0">
            <wp:extent cx="5274310" cy="2883535"/>
            <wp:effectExtent l="0" t="0" r="2540" b="12065"/>
            <wp:docPr id="150534101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spacing w:line="600" w:lineRule="exact"/>
        <w:ind w:left="2" w:leftChars="1"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一般公共预算支出</w:t>
      </w:r>
      <w:r>
        <w:rPr>
          <w:rFonts w:ascii="宋体" w:hAnsi="宋体" w:eastAsia="宋体" w:cs="宋体"/>
          <w:color w:val="auto"/>
          <w:kern w:val="0"/>
          <w:sz w:val="24"/>
        </w:rPr>
        <w:t>325074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万元，比上年减支</w:t>
      </w:r>
      <w:r>
        <w:rPr>
          <w:rFonts w:ascii="宋体" w:hAnsi="宋体" w:eastAsia="宋体" w:cs="宋体"/>
          <w:color w:val="auto"/>
          <w:kern w:val="0"/>
          <w:sz w:val="24"/>
        </w:rPr>
        <w:t>5355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万元，下降</w:t>
      </w:r>
      <w:r>
        <w:rPr>
          <w:rFonts w:ascii="宋体" w:hAnsi="宋体" w:eastAsia="宋体" w:cs="宋体"/>
          <w:color w:val="auto"/>
          <w:kern w:val="0"/>
          <w:sz w:val="24"/>
        </w:rPr>
        <w:t>1.6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%。其中，文化旅游体育与传媒支出增长</w:t>
      </w:r>
      <w:r>
        <w:rPr>
          <w:rFonts w:ascii="宋体" w:hAnsi="宋体" w:eastAsia="宋体" w:cs="宋体"/>
          <w:color w:val="auto"/>
          <w:kern w:val="0"/>
          <w:sz w:val="24"/>
        </w:rPr>
        <w:t>17.2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%，一般公共服务支出增长</w:t>
      </w:r>
      <w:r>
        <w:rPr>
          <w:rFonts w:ascii="宋体" w:hAnsi="宋体" w:eastAsia="宋体" w:cs="宋体"/>
          <w:color w:val="auto"/>
          <w:kern w:val="0"/>
          <w:sz w:val="24"/>
        </w:rPr>
        <w:t>48.3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%，教育支出增长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5.6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%，社会保障和就业支出增长</w:t>
      </w:r>
      <w:r>
        <w:rPr>
          <w:rFonts w:ascii="宋体" w:hAnsi="宋体" w:eastAsia="宋体" w:cs="宋体"/>
          <w:color w:val="auto"/>
          <w:kern w:val="0"/>
          <w:sz w:val="24"/>
        </w:rPr>
        <w:t>17.2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%，节能环保支出增长</w:t>
      </w:r>
      <w:r>
        <w:rPr>
          <w:rFonts w:ascii="宋体" w:hAnsi="宋体" w:eastAsia="宋体" w:cs="宋体"/>
          <w:color w:val="auto"/>
          <w:kern w:val="0"/>
          <w:sz w:val="24"/>
        </w:rPr>
        <w:t>13.4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600" w:lineRule="exact"/>
        <w:ind w:left="122" w:leftChars="58" w:firstLine="360" w:firstLineChars="15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全年居民消费价格比上年上涨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0</w:t>
      </w:r>
      <w:r>
        <w:rPr>
          <w:rFonts w:ascii="宋体" w:hAnsi="宋体" w:eastAsia="宋体" w:cs="宋体"/>
          <w:color w:val="auto"/>
          <w:kern w:val="0"/>
          <w:sz w:val="24"/>
        </w:rPr>
        <w:t>.2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%，其中，食品烟酒类价格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下降0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.4%。</w:t>
      </w:r>
    </w:p>
    <w:p>
      <w:pPr>
        <w:widowControl/>
        <w:wordWrap w:val="0"/>
        <w:spacing w:line="480" w:lineRule="auto"/>
        <w:ind w:left="2" w:hanging="2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表1  20</w:t>
      </w:r>
      <w:r>
        <w:rPr>
          <w:rFonts w:ascii="宋体" w:hAnsi="宋体" w:eastAsia="宋体" w:cs="宋体"/>
          <w:b/>
          <w:color w:val="auto"/>
          <w:kern w:val="0"/>
          <w:sz w:val="24"/>
        </w:rPr>
        <w:t>2</w:t>
      </w:r>
      <w:r>
        <w:rPr>
          <w:rFonts w:hint="eastAsia" w:ascii="宋体" w:hAnsi="宋体" w:eastAsia="宋体" w:cs="宋体"/>
          <w:b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年居民消费价格比上年涨跌幅度</w:t>
      </w:r>
    </w:p>
    <w:p>
      <w:pPr>
        <w:widowControl/>
        <w:wordWrap w:val="0"/>
        <w:spacing w:line="480" w:lineRule="auto"/>
        <w:ind w:left="2" w:right="480" w:hanging="2"/>
        <w:jc w:val="righ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单位：%</w:t>
      </w:r>
    </w:p>
    <w:tbl>
      <w:tblPr>
        <w:tblStyle w:val="6"/>
        <w:tblW w:w="7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指    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涨跌幅度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居民消费价格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食品烟酒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衣着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居住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生活用品及服务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交通和通信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教育文化和娱乐</w:t>
            </w:r>
          </w:p>
          <w:p>
            <w:pPr>
              <w:widowControl/>
              <w:spacing w:line="480" w:lineRule="auto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医疗保健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其他用品和服务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0.2</w:t>
            </w:r>
          </w:p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-0.4</w:t>
            </w:r>
          </w:p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1.6</w:t>
            </w:r>
          </w:p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0.4</w:t>
            </w:r>
          </w:p>
          <w:p>
            <w:pPr>
              <w:widowControl/>
              <w:spacing w:line="480" w:lineRule="auto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-0.1</w:t>
            </w:r>
          </w:p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-3.5</w:t>
            </w:r>
          </w:p>
          <w:p>
            <w:pPr>
              <w:widowControl/>
              <w:spacing w:line="480" w:lineRule="auto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2.9</w:t>
            </w:r>
          </w:p>
          <w:p>
            <w:pPr>
              <w:widowControl/>
              <w:spacing w:line="480" w:lineRule="auto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1.6</w:t>
            </w:r>
          </w:p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2.0</w:t>
            </w:r>
          </w:p>
        </w:tc>
      </w:tr>
    </w:tbl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bookmarkStart w:id="0" w:name="_Hlk69912413"/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二、农    业</w:t>
      </w:r>
    </w:p>
    <w:bookmarkEnd w:id="0"/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农作物总种植面积25319.7亩，比上年增加273.8亩。其中，粮食种植面积23331.9亩，增加450.1亩；蔬菜种植面积1769.8亩，减少174.7亩；油料种植面积116亩，减少14亩。在粮食种植面积中，小麦种植面积13172.8亩，减少1710.1亩；豆类种植面积2957.1亩，增加1189.2亩；玉米种植面积6592.5亩，增加1115.2亩；其它谷物种植面积292.8亩，减少112.2亩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全年粮食总产量7612吨，比上年增加160吨，增产2.1%。其中，夏粮4053.9吨，减产10.1%；秋粮3558.2吨，增产21.0%。</w:t>
      </w:r>
    </w:p>
    <w:p>
      <w:pPr>
        <w:widowControl/>
        <w:wordWrap w:val="0"/>
        <w:spacing w:line="48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表2  20</w:t>
      </w:r>
      <w:r>
        <w:rPr>
          <w:rFonts w:ascii="宋体" w:hAnsi="宋体" w:eastAsia="宋体" w:cs="宋体"/>
          <w:b/>
          <w:bCs/>
          <w:color w:val="auto"/>
          <w:kern w:val="0"/>
          <w:sz w:val="24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年主要农产品产量及增长速度</w:t>
      </w:r>
    </w:p>
    <w:tbl>
      <w:tblPr>
        <w:tblStyle w:val="6"/>
        <w:tblW w:w="6795" w:type="dxa"/>
        <w:jc w:val="center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342"/>
        <w:gridCol w:w="2162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产品名称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产量(吨)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比上年增长(%)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粮  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Times New Roman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7612.1 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 xml:space="preserve">  其中:夏粮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4053.9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-10.1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 xml:space="preserve">       秋粮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3558.2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蔬菜及食用菌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4751.6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瓜  果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46.1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15.3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2"/>
                <w:lang w:val="en-US" w:eastAsia="zh-CN" w:bidi="ar"/>
              </w:rPr>
              <w:t>油  料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8.6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-53.0</w:t>
            </w:r>
          </w:p>
        </w:tc>
      </w:tr>
    </w:tbl>
    <w:p>
      <w:pPr>
        <w:widowControl/>
        <w:spacing w:line="600" w:lineRule="exact"/>
        <w:ind w:firstLine="482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肉类总产量536.3吨，比上年增长17.4%。其中，猪肉产量119吨，下降15.1%；牛肉产量99吨，下降6.5%；羊肉产量107.1吨，增长4.3%。年末生猪存栏1415头，增长54.8%；生猪出栏1453头，下降15.1%。禽蛋产量3170.9吨，增长18.5%。</w:t>
      </w:r>
    </w:p>
    <w:p>
      <w:pPr>
        <w:widowControl/>
        <w:spacing w:line="600" w:lineRule="exact"/>
        <w:ind w:firstLine="482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年末全区农业机械总动力15593千瓦，比上年末增长2.0%。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三、工业和建筑业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全年全部工业增加值1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50138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万元，比上年增长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1.5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%。年末，全区规模以上工业企业51家，规模以上工业增加值比上年增长3.9%。在规模以上工业中，分门类看，采矿业增长26.2%，制造业下降11.4%，电力、热力、燃气及水的生产和供应业下降2.9%。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全年规模以上工业中，煤炭开采和洗选业比上年增长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26.5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%，非金属矿采选业下降2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.0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%，纺织服装、服饰业下降7.9%，印刷和记录媒介复制业增长6.2%，橡胶和塑料制品业增长25.7%，非金属矿物制品业增长2.1%，黑色金属冶炼和压延加工业增长46.9%，金属制品业下降18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.0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%，汽车制造业下降4.4%，专用设备制造业下降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4.6%，通用设备制造业下降19.3%，仪器仪表制造业下降26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.0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%，电力、热力生产和供应业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下降5.8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%，燃气生产和供应业下降4.9%，水的生产和供应业下降0.2%。</w:t>
      </w:r>
    </w:p>
    <w:p>
      <w:pPr>
        <w:widowControl/>
        <w:wordWrap w:val="0"/>
        <w:spacing w:line="500" w:lineRule="exact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图3  201</w:t>
      </w:r>
      <w:r>
        <w:rPr>
          <w:rFonts w:ascii="宋体" w:hAnsi="宋体" w:eastAsia="宋体" w:cs="宋体"/>
          <w:b/>
          <w:color w:val="auto"/>
          <w:kern w:val="0"/>
          <w:sz w:val="24"/>
        </w:rPr>
        <w:t>8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-202</w:t>
      </w:r>
      <w:r>
        <w:rPr>
          <w:rFonts w:ascii="宋体" w:hAnsi="宋体" w:eastAsia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年规模以上工业增加值增长速度</w:t>
      </w:r>
    </w:p>
    <w:p>
      <w:pPr>
        <w:widowControl/>
        <w:wordWrap w:val="0"/>
        <w:jc w:val="left"/>
        <w:rPr>
          <w:rFonts w:ascii="宋体" w:hAnsi="宋体" w:eastAsia="宋体" w:cs="宋体"/>
          <w:b/>
          <w:color w:val="auto"/>
          <w:kern w:val="0"/>
          <w:sz w:val="24"/>
        </w:rPr>
      </w:pPr>
    </w:p>
    <w:p>
      <w:pPr>
        <w:widowControl/>
        <w:wordWrap w:val="0"/>
        <w:spacing w:line="480" w:lineRule="auto"/>
        <w:jc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71770" cy="2871470"/>
            <wp:effectExtent l="5080" t="4445" r="19050" b="1968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wordWrap w:val="0"/>
        <w:spacing w:line="480" w:lineRule="auto"/>
        <w:ind w:firstLine="480" w:firstLineChars="200"/>
        <w:jc w:val="both"/>
        <w:rPr>
          <w:rFonts w:hint="default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 xml:space="preserve">全年规模以上工业完成总产值556356万元，下降12.3%；完成销售产值568912万元，下降7.8%。 </w:t>
      </w: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表3  202</w:t>
      </w:r>
      <w:r>
        <w:rPr>
          <w:rFonts w:ascii="宋体" w:hAnsi="宋体" w:eastAsia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年规模以上工业主要产品产量及增长速度</w:t>
      </w:r>
    </w:p>
    <w:tbl>
      <w:tblPr>
        <w:tblStyle w:val="6"/>
        <w:tblW w:w="73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361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产 品 名 称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产量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比上年增长%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原煤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1820140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水泥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85313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商品混凝土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729742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生铁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91075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铸铁件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203118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412881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-9.1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自来水生产量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万立方米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53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</w:tr>
    </w:tbl>
    <w:p>
      <w:pPr>
        <w:widowControl/>
        <w:spacing w:line="600" w:lineRule="exact"/>
        <w:ind w:firstLine="480" w:firstLineChars="200"/>
        <w:rPr>
          <w:rFonts w:ascii="宋体" w:hAnsi="宋体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规模以上工业全年实现营业收入592273.4万元，比上年下降4.2%。分门类看，采矿业68329.9万元，下降11.9%；制造业418143.3万元，下降3.9%；电力、热力、燃气及水的生产和供应业105800万元，增长0.2%。实现利润总额-42591.8万元，去年同期实现-37918.8万元。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全年规模以上工业企业综合能源消费量26.5万吨标准煤，增长18.8%，单位工业增加值能耗增长14.3%；规上工业企业工业用电量60933.2万千瓦时，增长0.4%。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二轻集体企业全年实现利税总额25</w:t>
      </w:r>
      <w:r>
        <w:rPr>
          <w:rFonts w:ascii="宋体" w:hAnsi="宋体" w:eastAsia="宋体" w:cs="宋体"/>
          <w:color w:val="auto"/>
          <w:kern w:val="0"/>
          <w:sz w:val="24"/>
        </w:rPr>
        <w:t>95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1.1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全年建筑业增加值274712万元，比上年增长5.2%。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年末全区具有资质等级的总承包和专业承包建筑业企业93家；签订合同额1314664万元，下降19%；完成总产值472746万元，增长4.2%。房屋建筑施工面积3739006平方米，下降2%；竣工产值3040636万元，下降1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before="312" w:beforeLines="100" w:line="480" w:lineRule="auto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四、民营经济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全年全区民营经济完成总产值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828591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增长5.9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%；增加值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931734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增长5.1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%；营业收入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2589725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增长3.4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%；利税总额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203316万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增长10.1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其中：民营企业完成总产值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793541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增长6.9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%；增加值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772224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增长5.9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%；营业收入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2123186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增长2.1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%；利税总额14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9665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增长2.4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五、国内贸易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全年全区社会消费品零售总额</w:t>
      </w:r>
      <w:r>
        <w:rPr>
          <w:rFonts w:ascii="宋体" w:hAnsi="宋体" w:eastAsia="宋体" w:cs="宋体"/>
          <w:color w:val="auto"/>
          <w:kern w:val="0"/>
          <w:sz w:val="24"/>
        </w:rPr>
        <w:t>3090971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8.4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%。其中限额以上贸易企业（含个体户）</w:t>
      </w:r>
      <w:r>
        <w:rPr>
          <w:rFonts w:ascii="宋体" w:hAnsi="宋体" w:eastAsia="宋体" w:cs="宋体"/>
          <w:color w:val="auto"/>
          <w:kern w:val="0"/>
          <w:sz w:val="24"/>
        </w:rPr>
        <w:t>349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家，实现社会消费品零售总额</w:t>
      </w:r>
      <w:r>
        <w:rPr>
          <w:rFonts w:ascii="宋体" w:hAnsi="宋体" w:eastAsia="宋体" w:cs="宋体"/>
          <w:color w:val="auto"/>
          <w:kern w:val="0"/>
          <w:sz w:val="24"/>
        </w:rPr>
        <w:t>1040468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11.0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%。限上零售额按消费类型分，商品零售</w:t>
      </w:r>
      <w:r>
        <w:rPr>
          <w:rFonts w:ascii="宋体" w:hAnsi="宋体" w:eastAsia="宋体" w:cs="宋体"/>
          <w:color w:val="auto"/>
          <w:kern w:val="0"/>
          <w:sz w:val="24"/>
        </w:rPr>
        <w:t>965471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10.3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</w:rPr>
        <w:t>餐饮收入</w:t>
      </w:r>
      <w:r>
        <w:rPr>
          <w:rFonts w:ascii="宋体" w:hAnsi="宋体" w:eastAsia="宋体" w:cs="宋体"/>
          <w:color w:val="auto"/>
          <w:kern w:val="0"/>
          <w:sz w:val="24"/>
        </w:rPr>
        <w:t>74997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万元，增长2</w:t>
      </w:r>
      <w:r>
        <w:rPr>
          <w:rFonts w:ascii="宋体" w:hAnsi="宋体" w:eastAsia="宋体" w:cs="宋体"/>
          <w:color w:val="auto"/>
          <w:kern w:val="0"/>
          <w:sz w:val="24"/>
        </w:rPr>
        <w:t>0.3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。</w:t>
      </w:r>
    </w:p>
    <w:p>
      <w:pPr>
        <w:widowControl/>
        <w:tabs>
          <w:tab w:val="left" w:pos="7020"/>
        </w:tabs>
        <w:spacing w:line="480" w:lineRule="auto"/>
        <w:jc w:val="center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图4  201</w:t>
      </w:r>
      <w:r>
        <w:rPr>
          <w:rFonts w:ascii="宋体" w:hAnsi="宋体" w:cs="宋体"/>
          <w:b/>
          <w:color w:val="auto"/>
          <w:kern w:val="0"/>
          <w:sz w:val="24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ascii="宋体" w:hAnsi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年社会消费品零售总额及增长速度</w:t>
      </w:r>
    </w:p>
    <w:p>
      <w:pPr>
        <w:widowControl/>
        <w:tabs>
          <w:tab w:val="left" w:pos="7020"/>
        </w:tabs>
        <w:spacing w:line="480" w:lineRule="auto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color w:val="auto"/>
        </w:rPr>
        <w:drawing>
          <wp:inline distT="0" distB="0" distL="0" distR="0">
            <wp:extent cx="5274310" cy="3437890"/>
            <wp:effectExtent l="0" t="0" r="2540" b="10160"/>
            <wp:docPr id="43554431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表4  202</w:t>
      </w:r>
      <w:r>
        <w:rPr>
          <w:rFonts w:ascii="宋体" w:hAnsi="宋体" w:eastAsia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年城区社会消费品零售总额及增长速度</w:t>
      </w:r>
    </w:p>
    <w:tbl>
      <w:tblPr>
        <w:tblStyle w:val="6"/>
        <w:tblW w:w="6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1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指    标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绝对数（万元）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社会消费品零售总额</w:t>
            </w:r>
          </w:p>
          <w:p>
            <w:pPr>
              <w:widowControl/>
              <w:spacing w:line="480" w:lineRule="auto"/>
              <w:ind w:firstLine="360" w:firstLineChars="1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#限额以上</w:t>
            </w:r>
          </w:p>
          <w:p>
            <w:pPr>
              <w:widowControl/>
              <w:spacing w:line="480" w:lineRule="auto"/>
              <w:ind w:firstLine="720" w:firstLineChars="3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按消费形态分</w:t>
            </w:r>
          </w:p>
          <w:p>
            <w:pPr>
              <w:widowControl/>
              <w:spacing w:line="480" w:lineRule="auto"/>
              <w:ind w:firstLine="720" w:firstLineChars="3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1、餐饮收入</w:t>
            </w:r>
          </w:p>
          <w:p>
            <w:pPr>
              <w:widowControl/>
              <w:spacing w:line="480" w:lineRule="auto"/>
              <w:ind w:firstLine="720" w:firstLineChars="3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、商品零售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3090971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1040468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74997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965471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8.4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11.0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20.3</w:t>
            </w:r>
          </w:p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10.3</w:t>
            </w:r>
          </w:p>
        </w:tc>
      </w:tr>
    </w:tbl>
    <w:p>
      <w:pPr>
        <w:widowControl/>
        <w:wordWrap w:val="0"/>
        <w:spacing w:before="156" w:beforeLines="50" w:line="480" w:lineRule="auto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表5  202</w:t>
      </w:r>
      <w:r>
        <w:rPr>
          <w:rFonts w:ascii="宋体" w:hAnsi="宋体" w:eastAsia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年限额以上批发零售业零售额及增长速度</w:t>
      </w:r>
    </w:p>
    <w:tbl>
      <w:tblPr>
        <w:tblStyle w:val="6"/>
        <w:tblW w:w="6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168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指    标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绝对数（万元）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893018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#通过公共网络实现的商品零售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17706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42.7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粮油、食品类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104816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饮料类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8620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烟酒类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76595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47.9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服装、鞋帽、针纺织品类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13117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-40.8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化妆品类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5258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31.3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金银珠宝类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5622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日用品类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22829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53.9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五金、电料类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1546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体育、娱乐用品类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书报杂志类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8453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电子出版物及音像制品类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1148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家用电器和音像器材类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54758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中西药品类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14722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文化办公用品类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6231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56.2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家具类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7930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通讯器材类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62841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61.0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石油及制品类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215989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建筑及装潢材料类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294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137.2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机电产品及设备类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146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汽车类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275951 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-3.7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其他类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6150</w:t>
            </w: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480" w:lineRule="auto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9.1</w:t>
            </w:r>
          </w:p>
        </w:tc>
      </w:tr>
    </w:tbl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六、服务业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全年服务业增加值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含开发区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 w:val="24"/>
        </w:rPr>
        <w:t>3296701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4.9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%。批发和零售业增加值</w:t>
      </w:r>
      <w:r>
        <w:rPr>
          <w:rFonts w:ascii="宋体" w:hAnsi="宋体" w:eastAsia="宋体" w:cs="宋体"/>
          <w:color w:val="auto"/>
          <w:kern w:val="0"/>
          <w:sz w:val="24"/>
        </w:rPr>
        <w:t>523693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万元，比上年下降0</w:t>
      </w:r>
      <w:r>
        <w:rPr>
          <w:rFonts w:ascii="宋体" w:hAnsi="宋体" w:eastAsia="宋体" w:cs="宋体"/>
          <w:color w:val="auto"/>
          <w:kern w:val="0"/>
          <w:sz w:val="24"/>
        </w:rPr>
        <w:t>.7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%；交通运输、仓储和邮政业增加值3</w:t>
      </w:r>
      <w:r>
        <w:rPr>
          <w:rFonts w:ascii="宋体" w:hAnsi="宋体" w:eastAsia="宋体" w:cs="宋体"/>
          <w:color w:val="auto"/>
          <w:kern w:val="0"/>
          <w:sz w:val="24"/>
        </w:rPr>
        <w:t>88068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2.5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%；住宿和餐饮业增加值</w:t>
      </w:r>
      <w:r>
        <w:rPr>
          <w:rFonts w:ascii="宋体" w:hAnsi="宋体" w:eastAsia="宋体" w:cs="宋体"/>
          <w:color w:val="auto"/>
          <w:kern w:val="0"/>
          <w:sz w:val="24"/>
        </w:rPr>
        <w:t>76854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19.7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%；金融业增加值</w:t>
      </w:r>
      <w:r>
        <w:rPr>
          <w:rFonts w:ascii="宋体" w:hAnsi="宋体" w:eastAsia="宋体" w:cs="宋体"/>
          <w:color w:val="auto"/>
          <w:kern w:val="0"/>
          <w:sz w:val="24"/>
        </w:rPr>
        <w:t>501222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万元，增长5</w:t>
      </w:r>
      <w:r>
        <w:rPr>
          <w:rFonts w:ascii="宋体" w:hAnsi="宋体" w:eastAsia="宋体" w:cs="宋体"/>
          <w:color w:val="auto"/>
          <w:kern w:val="0"/>
          <w:sz w:val="24"/>
        </w:rPr>
        <w:t>.6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%；房地产业增加值</w:t>
      </w:r>
      <w:r>
        <w:rPr>
          <w:rFonts w:ascii="宋体" w:hAnsi="宋体" w:eastAsia="宋体" w:cs="宋体"/>
          <w:color w:val="auto"/>
          <w:kern w:val="0"/>
          <w:sz w:val="24"/>
        </w:rPr>
        <w:t>286550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1.0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%；营利性服务业增加值</w:t>
      </w:r>
      <w:r>
        <w:rPr>
          <w:rFonts w:ascii="宋体" w:hAnsi="宋体" w:eastAsia="宋体" w:cs="宋体"/>
          <w:color w:val="auto"/>
          <w:kern w:val="0"/>
          <w:sz w:val="24"/>
        </w:rPr>
        <w:t>719332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8.2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%；非营利性服务业增加值7</w:t>
      </w:r>
      <w:r>
        <w:rPr>
          <w:rFonts w:ascii="宋体" w:hAnsi="宋体" w:eastAsia="宋体" w:cs="宋体"/>
          <w:color w:val="auto"/>
          <w:kern w:val="0"/>
          <w:sz w:val="24"/>
        </w:rPr>
        <w:t>99785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万元，增长</w:t>
      </w:r>
      <w:r>
        <w:rPr>
          <w:rFonts w:ascii="宋体" w:hAnsi="宋体" w:eastAsia="宋体" w:cs="宋体"/>
          <w:color w:val="auto"/>
          <w:kern w:val="0"/>
          <w:sz w:val="24"/>
        </w:rPr>
        <w:t>6.3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%。全年全区规模以上服务业企业</w:t>
      </w:r>
      <w:r>
        <w:rPr>
          <w:rFonts w:ascii="宋体" w:hAnsi="宋体" w:eastAsia="宋体" w:cs="宋体"/>
          <w:color w:val="auto"/>
          <w:kern w:val="0"/>
          <w:sz w:val="24"/>
        </w:rPr>
        <w:t>60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家，营业收入实现</w:t>
      </w:r>
      <w:r>
        <w:rPr>
          <w:rFonts w:ascii="宋体" w:hAnsi="宋体" w:eastAsia="宋体" w:cs="宋体"/>
          <w:color w:val="auto"/>
          <w:kern w:val="0"/>
          <w:sz w:val="24"/>
        </w:rPr>
        <w:t>681380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万元，比上年增长</w:t>
      </w:r>
      <w:r>
        <w:rPr>
          <w:rFonts w:ascii="宋体" w:hAnsi="宋体" w:eastAsia="宋体" w:cs="宋体"/>
          <w:color w:val="auto"/>
          <w:kern w:val="0"/>
          <w:sz w:val="24"/>
        </w:rPr>
        <w:t>13.5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580" w:lineRule="exact"/>
        <w:ind w:firstLine="602" w:firstLineChars="250"/>
        <w:jc w:val="center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图5  201</w:t>
      </w:r>
      <w:r>
        <w:rPr>
          <w:rFonts w:ascii="宋体" w:hAnsi="宋体" w:cs="宋体"/>
          <w:b/>
          <w:color w:val="auto"/>
          <w:kern w:val="0"/>
          <w:sz w:val="24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ascii="宋体" w:hAnsi="宋体" w:cs="宋体"/>
          <w:b/>
          <w:color w:val="auto"/>
          <w:kern w:val="0"/>
          <w:sz w:val="24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年服务业增加值及增长速度</w:t>
      </w:r>
    </w:p>
    <w:p>
      <w:pPr>
        <w:widowControl/>
        <w:spacing w:line="480" w:lineRule="auto"/>
        <w:rPr>
          <w:rFonts w:ascii="宋体" w:hAnsi="宋体" w:eastAsia="宋体" w:cs="宋体"/>
          <w:color w:val="auto"/>
          <w:kern w:val="0"/>
          <w:sz w:val="24"/>
        </w:rPr>
      </w:pPr>
      <w:r>
        <w:rPr>
          <w:color w:val="auto"/>
        </w:rPr>
        <w:drawing>
          <wp:inline distT="0" distB="0" distL="0" distR="0">
            <wp:extent cx="5274310" cy="2950210"/>
            <wp:effectExtent l="0" t="0" r="2540" b="2540"/>
            <wp:docPr id="7058749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全年全区货物运输量41.4万吨，比上年下降49.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%，货物运输周转量6888万吨公里，下降49.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%；旅客运输量68.17万人，增长155.5%，旅客周转量18008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 xml:space="preserve">万人公里，增长254.4%。全年全区规模以上交通运输、仓储和邮政业企业11家，实现营业收入22.3亿元，增长4.0%；实现利润4.8亿元，下降0.7%。 </w:t>
      </w:r>
      <w:r>
        <w:rPr>
          <w:rFonts w:ascii="宋体" w:hAnsi="宋体" w:eastAsia="宋体" w:cs="宋体"/>
          <w:color w:val="auto"/>
          <w:kern w:val="0"/>
          <w:sz w:val="24"/>
        </w:rPr>
        <w:t xml:space="preserve"> 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完成邮电业务总量20.3亿元。其中，邮政业务总量1.9亿元，全年完成邮政函件业务50.5万件，包裹业务1.5万件，快递业务475.5万件；快递业务收入903.6万元。电信业务总量19.0亿元，其中，移动业务总量10.2亿元，联通业务总量8.8亿元。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七、固定资产投资</w:t>
      </w:r>
    </w:p>
    <w:p>
      <w:pPr>
        <w:widowControl/>
        <w:tabs>
          <w:tab w:val="left" w:pos="7020"/>
        </w:tabs>
        <w:spacing w:line="48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全年全区固定资产投资项目（含房地产开发项目）24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个，完成投资121.8亿元，比上年增长7.1%。其中，建筑安装工程投资86.1亿元，下降0.7%。民间投资57.3亿元，增长10.2%。基础设施投资21.7亿元，下降13.9%。产业类投资28.7亿元，增长54.7%。</w:t>
      </w:r>
    </w:p>
    <w:p>
      <w:pPr>
        <w:widowControl/>
        <w:tabs>
          <w:tab w:val="left" w:pos="7020"/>
        </w:tabs>
        <w:spacing w:line="480" w:lineRule="auto"/>
        <w:ind w:firstLine="1687" w:firstLineChars="700"/>
        <w:jc w:val="both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图6  201</w:t>
      </w:r>
      <w:r>
        <w:rPr>
          <w:rFonts w:hint="eastAsia" w:ascii="宋体" w:hAnsi="宋体" w:cs="宋体"/>
          <w:b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hint="eastAsia" w:ascii="宋体" w:hAnsi="宋体" w:cs="宋体"/>
          <w:b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年固定资产投资增长速度</w:t>
      </w:r>
    </w:p>
    <w:p>
      <w:pPr>
        <w:widowControl/>
        <w:tabs>
          <w:tab w:val="left" w:pos="7020"/>
        </w:tabs>
        <w:spacing w:line="480" w:lineRule="auto"/>
        <w:rPr>
          <w:rFonts w:ascii="宋体" w:hAnsi="宋体" w:cs="宋体"/>
          <w:b/>
          <w:color w:val="auto"/>
          <w:kern w:val="0"/>
          <w:sz w:val="24"/>
        </w:rPr>
      </w:pPr>
      <w:r>
        <w:rPr>
          <w:color w:val="auto"/>
        </w:rPr>
        <w:drawing>
          <wp:inline distT="0" distB="0" distL="114300" distR="114300">
            <wp:extent cx="5273675" cy="3002915"/>
            <wp:effectExtent l="4445" t="4445" r="17780" b="21590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</w:rPr>
      </w:pPr>
      <w:bookmarkStart w:id="1" w:name="_Hlk69913400"/>
      <w:r>
        <w:rPr>
          <w:rFonts w:hint="eastAsia" w:ascii="宋体" w:hAnsi="宋体" w:eastAsia="宋体" w:cs="宋体"/>
          <w:color w:val="auto"/>
          <w:kern w:val="0"/>
          <w:sz w:val="24"/>
        </w:rPr>
        <w:t>在固定资产投资中，第一产业投资1.6亿元，增长30.4%；第二产业投资7.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亿元，下降37.5%；第三产业投资112.4亿元，增长12.4%。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全年房地产开发投资49.3亿元，比上年增长5.3%。其中，住宅投资35.1亿元，增长16.9%；办公楼投资0.3亿元，增长96.1%；商业营业用房投资4.9亿元，增长9.8%。</w:t>
      </w:r>
    </w:p>
    <w:p>
      <w:pPr>
        <w:widowControl/>
        <w:spacing w:line="480" w:lineRule="auto"/>
        <w:ind w:firstLine="482" w:firstLineChars="200"/>
        <w:jc w:val="center"/>
        <w:rPr>
          <w:rFonts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表6  202</w:t>
      </w:r>
      <w:r>
        <w:rPr>
          <w:rFonts w:hint="eastAsia" w:ascii="宋体" w:hAnsi="宋体" w:eastAsia="宋体" w:cs="宋体"/>
          <w:b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年房地产开发和销售情况</w:t>
      </w:r>
    </w:p>
    <w:tbl>
      <w:tblPr>
        <w:tblStyle w:val="6"/>
        <w:tblW w:w="7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36"/>
        <w:gridCol w:w="160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指标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绝对数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投资完成额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其中：住宅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房屋施工面积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其中：住宅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房屋新开工面积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其中：住宅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房屋竣工面积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其中：住宅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商品房销售面积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其中：住宅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亿元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亿元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平方米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49.3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35.1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4738111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3517393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1082524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842523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  <w:t>1573549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  <w:t>1206609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  <w:t>560660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  <w:t>546818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16.9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-16.0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-15.9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25.0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32.2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6.9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9.5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-5.5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3.5</w:t>
            </w:r>
          </w:p>
        </w:tc>
      </w:tr>
      <w:bookmarkEnd w:id="1"/>
    </w:tbl>
    <w:p>
      <w:pPr>
        <w:widowControl/>
        <w:spacing w:before="100" w:beforeAutospacing="1" w:after="100" w:afterAutospacing="1" w:line="600" w:lineRule="exact"/>
        <w:jc w:val="center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八、教育、科技、文化、卫生和体育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</w:rPr>
      </w:pPr>
      <w:bookmarkStart w:id="2" w:name="_Hlk69914006"/>
      <w:r>
        <w:rPr>
          <w:rFonts w:hint="eastAsia" w:ascii="宋体" w:hAnsi="宋体" w:eastAsia="宋体" w:cs="宋体"/>
          <w:color w:val="auto"/>
          <w:kern w:val="0"/>
          <w:sz w:val="24"/>
        </w:rPr>
        <w:t>民生福祉持续增进。始终把群众安危冷暖记在心上、扛在肩上，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全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年用于民生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投资7.9亿元，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占全区一般公共预算收入的84%，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办成了省市区28件民生实事，惠及各类群体16.5万人。聚焦群众上学、就业、看病、养老、住房等难题，高标准建成8所学校，回收4所幼儿园，新增学位4170个；新建1个零工市场、17个就业平台、47个共富驿站，新增就业1.3万人；73个村卫生室诊疗设施完成配备更新；西巷、时家岭等3处幸福养老工程全面建成，新星托育中心主体封顶；老城31栋4026套回迁房顺利交付，真正把一张张“民生清单”兑现成为老百姓的“幸福账单”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全年全区财政性教育投入达到5.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亿元，占财政总支出的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16.8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  <w:bookmarkEnd w:id="2"/>
      <w:r>
        <w:rPr>
          <w:rFonts w:hint="eastAsia" w:ascii="宋体" w:hAnsi="宋体" w:eastAsia="宋体" w:cs="宋体"/>
          <w:color w:val="auto"/>
          <w:kern w:val="0"/>
          <w:sz w:val="24"/>
        </w:rPr>
        <w:t>年末全区有普通中学31所，招生9611人，在校生29990人，毕业生9364人，教职工4262人；职业中学6所，招生2665人，在校生8141人，毕业生2874人，教职工651人；小学51所，招生9764人，在校生42647人，毕业生6258人，教职工2285人；幼儿园101所，招生7002人，在园幼儿23947人，毕业幼儿8846人，教职工3092人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年末全区有公共图书馆1个，藏书11.3万册；文化馆1个，组织文艺活动和培训77次，图书馆和文化馆收入310.2万元；艺术表演团体1个，演出场次520场，观众人数15万人次，收入320万元；广播电视台1个，自制作电视节目96小时。有线电视覆盖率100%。书店系统总发行图书4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53.0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万册，图书发行总值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8905.3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万元。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年末全区共有卫生机构119个，开放床位942张，从业人员2100人，电脑1346台，各种医疗器械199台。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年末全区有体育机构1个，举办运动会14次，参会运动员4000余人。</w:t>
      </w:r>
    </w:p>
    <w:p>
      <w:pPr>
        <w:widowControl/>
        <w:spacing w:line="600" w:lineRule="exact"/>
        <w:ind w:firstLine="2249" w:firstLineChars="800"/>
        <w:rPr>
          <w:rFonts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九、居民收入消费和社会保障</w:t>
      </w:r>
    </w:p>
    <w:p>
      <w:pPr>
        <w:widowControl/>
        <w:wordWrap w:val="0"/>
        <w:spacing w:line="600" w:lineRule="exact"/>
        <w:ind w:firstLine="480" w:firstLineChars="200"/>
        <w:jc w:val="left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全年全区城镇居民人均可支配收入4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6385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元，比上年增长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5.0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%。</w:t>
      </w:r>
    </w:p>
    <w:p>
      <w:pPr>
        <w:widowControl/>
        <w:spacing w:line="580" w:lineRule="exact"/>
        <w:ind w:firstLine="602" w:firstLineChars="250"/>
        <w:jc w:val="center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图7  201</w:t>
      </w:r>
      <w:r>
        <w:rPr>
          <w:rFonts w:hint="eastAsia" w:ascii="宋体" w:hAnsi="宋体" w:cs="宋体"/>
          <w:b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color w:val="auto"/>
          <w:kern w:val="0"/>
          <w:sz w:val="24"/>
        </w:rPr>
        <w:t>-202</w:t>
      </w:r>
      <w:r>
        <w:rPr>
          <w:rFonts w:hint="eastAsia" w:ascii="宋体" w:hAnsi="宋体" w:cs="宋体"/>
          <w:b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kern w:val="0"/>
          <w:sz w:val="24"/>
        </w:rPr>
        <w:t>年城镇居民人均可支配收入及增长速度</w:t>
      </w:r>
    </w:p>
    <w:p>
      <w:pPr>
        <w:widowControl/>
        <w:spacing w:line="360" w:lineRule="auto"/>
        <w:rPr>
          <w:rFonts w:ascii="宋体" w:hAnsi="宋体" w:eastAsia="宋体" w:cs="宋体"/>
          <w:color w:val="auto"/>
          <w:kern w:val="0"/>
          <w:sz w:val="24"/>
        </w:rPr>
      </w:pPr>
      <w:r>
        <w:rPr>
          <w:color w:val="auto"/>
        </w:rPr>
        <w:drawing>
          <wp:inline distT="0" distB="0" distL="114300" distR="114300">
            <wp:extent cx="5273675" cy="2870200"/>
            <wp:effectExtent l="4445" t="4445" r="17780" b="20955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widowControl/>
        <w:spacing w:line="600" w:lineRule="exact"/>
        <w:ind w:firstLine="482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参加城乡居民养老保险68944人，减少203人。参加城镇职工基本医疗保险50935人，增加6264人。参加城乡居民医疗保险190261人，增加1810人，参保率达100%。参加失业保险42439人，增加6850人。</w:t>
      </w:r>
    </w:p>
    <w:p>
      <w:pPr>
        <w:widowControl/>
        <w:spacing w:line="600" w:lineRule="exact"/>
        <w:ind w:firstLine="482" w:firstLineChars="200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注释</w:t>
      </w:r>
      <w:r>
        <w:rPr>
          <w:rFonts w:hint="eastAsia" w:ascii="宋体" w:hAnsi="宋体" w:eastAsia="宋体" w:cs="宋体"/>
          <w:b/>
          <w:color w:val="auto"/>
          <w:kern w:val="0"/>
          <w:sz w:val="24"/>
          <w:lang w:eastAsia="zh-CN"/>
        </w:rPr>
        <w:t>：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1.本公报部分数据为初步统计数。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2.本公报部分数据由相关部门提供。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4"/>
        </w:rPr>
        <w:t>人口、生产总值、农业、服务业、财政、金融证券保险业、教育、卫生、社会保障、城镇居民可支配收入等部分数据为含北石店口径。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工业和建筑业、民营经济、固定资产投资、社会消费品零售总额、交通运输、邮电指标等部分数据为含南村口径。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.地区生产总值、各行业增加值绝对数按现价计算，增长速度按可比价计算。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.本公报中货物、旅客运输量和周转量数据仅包括省运和市运。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.本公报中邮政业务包括城区和泽州。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.教育方面数据未包括市属中专以上学校。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ascii="宋体" w:hAnsi="宋体" w:eastAsia="宋体" w:cs="宋体"/>
          <w:color w:val="auto"/>
          <w:kern w:val="0"/>
          <w:sz w:val="24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</w:rPr>
        <w:t>.本公报所列增加、增长、减少、下降均系与上年比较。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ZDgxMGUxZDkxZTcxMWQ1MTkzZWQxOGU2MWJjZWYifQ=="/>
    <w:docVar w:name="KSO_WPS_MARK_KEY" w:val="81c9e5ae-6066-45e2-ac73-264ad2b4e98b"/>
  </w:docVars>
  <w:rsids>
    <w:rsidRoot w:val="008635FB"/>
    <w:rsid w:val="000050B1"/>
    <w:rsid w:val="0000571B"/>
    <w:rsid w:val="00017D38"/>
    <w:rsid w:val="00021774"/>
    <w:rsid w:val="0003593B"/>
    <w:rsid w:val="0004554C"/>
    <w:rsid w:val="00047828"/>
    <w:rsid w:val="000524D7"/>
    <w:rsid w:val="0005337E"/>
    <w:rsid w:val="0006114B"/>
    <w:rsid w:val="0006198E"/>
    <w:rsid w:val="00063CAC"/>
    <w:rsid w:val="0006403B"/>
    <w:rsid w:val="00064370"/>
    <w:rsid w:val="000728F5"/>
    <w:rsid w:val="00077AF1"/>
    <w:rsid w:val="0008303E"/>
    <w:rsid w:val="0009345D"/>
    <w:rsid w:val="000968A4"/>
    <w:rsid w:val="000A166B"/>
    <w:rsid w:val="000A31C6"/>
    <w:rsid w:val="000B1245"/>
    <w:rsid w:val="000B79DB"/>
    <w:rsid w:val="000C277A"/>
    <w:rsid w:val="000C3349"/>
    <w:rsid w:val="000D7D4C"/>
    <w:rsid w:val="000E5383"/>
    <w:rsid w:val="000F351D"/>
    <w:rsid w:val="000F6CB5"/>
    <w:rsid w:val="00106E0C"/>
    <w:rsid w:val="00114534"/>
    <w:rsid w:val="00115BE4"/>
    <w:rsid w:val="00125E77"/>
    <w:rsid w:val="00130888"/>
    <w:rsid w:val="00137A7E"/>
    <w:rsid w:val="00155BCA"/>
    <w:rsid w:val="00161F83"/>
    <w:rsid w:val="0016654D"/>
    <w:rsid w:val="00175A51"/>
    <w:rsid w:val="00180D91"/>
    <w:rsid w:val="00181395"/>
    <w:rsid w:val="001902F4"/>
    <w:rsid w:val="00191090"/>
    <w:rsid w:val="001923E8"/>
    <w:rsid w:val="00195FE4"/>
    <w:rsid w:val="0019780A"/>
    <w:rsid w:val="001A021A"/>
    <w:rsid w:val="001A51D3"/>
    <w:rsid w:val="001A5759"/>
    <w:rsid w:val="001B2185"/>
    <w:rsid w:val="001B4F22"/>
    <w:rsid w:val="001B53B3"/>
    <w:rsid w:val="001B6BA7"/>
    <w:rsid w:val="001C213A"/>
    <w:rsid w:val="001C4D8F"/>
    <w:rsid w:val="001D7EF7"/>
    <w:rsid w:val="001E188E"/>
    <w:rsid w:val="001E3F14"/>
    <w:rsid w:val="001E6E19"/>
    <w:rsid w:val="001F1D81"/>
    <w:rsid w:val="002051B6"/>
    <w:rsid w:val="00207409"/>
    <w:rsid w:val="00207D48"/>
    <w:rsid w:val="00207F26"/>
    <w:rsid w:val="00211E20"/>
    <w:rsid w:val="0021614F"/>
    <w:rsid w:val="0022277E"/>
    <w:rsid w:val="00223FBF"/>
    <w:rsid w:val="002247BE"/>
    <w:rsid w:val="00233344"/>
    <w:rsid w:val="00233387"/>
    <w:rsid w:val="002374EB"/>
    <w:rsid w:val="00244402"/>
    <w:rsid w:val="00250208"/>
    <w:rsid w:val="00255812"/>
    <w:rsid w:val="00255869"/>
    <w:rsid w:val="0026624C"/>
    <w:rsid w:val="00266B6E"/>
    <w:rsid w:val="00270029"/>
    <w:rsid w:val="00280AA4"/>
    <w:rsid w:val="00286D18"/>
    <w:rsid w:val="002959A8"/>
    <w:rsid w:val="002B6336"/>
    <w:rsid w:val="002C15D2"/>
    <w:rsid w:val="002C365E"/>
    <w:rsid w:val="002C4D98"/>
    <w:rsid w:val="002E1A2C"/>
    <w:rsid w:val="002E58A4"/>
    <w:rsid w:val="002F54E8"/>
    <w:rsid w:val="00303670"/>
    <w:rsid w:val="00304FFA"/>
    <w:rsid w:val="00312682"/>
    <w:rsid w:val="00312BF4"/>
    <w:rsid w:val="00332C34"/>
    <w:rsid w:val="00333B58"/>
    <w:rsid w:val="00335989"/>
    <w:rsid w:val="00337BAB"/>
    <w:rsid w:val="0034003C"/>
    <w:rsid w:val="0034728D"/>
    <w:rsid w:val="0034766A"/>
    <w:rsid w:val="00352FB6"/>
    <w:rsid w:val="00356BF5"/>
    <w:rsid w:val="00361EC5"/>
    <w:rsid w:val="00362FD6"/>
    <w:rsid w:val="00365E32"/>
    <w:rsid w:val="00391F87"/>
    <w:rsid w:val="0039613D"/>
    <w:rsid w:val="00396FC5"/>
    <w:rsid w:val="003A2F4C"/>
    <w:rsid w:val="003B0D36"/>
    <w:rsid w:val="003B3932"/>
    <w:rsid w:val="003B3A4C"/>
    <w:rsid w:val="003C3ECD"/>
    <w:rsid w:val="003C6B53"/>
    <w:rsid w:val="003C6D15"/>
    <w:rsid w:val="003D49B0"/>
    <w:rsid w:val="003E260E"/>
    <w:rsid w:val="003E52EA"/>
    <w:rsid w:val="003F16D3"/>
    <w:rsid w:val="003F4EC6"/>
    <w:rsid w:val="00400DCB"/>
    <w:rsid w:val="004051CD"/>
    <w:rsid w:val="00414C24"/>
    <w:rsid w:val="00420CF2"/>
    <w:rsid w:val="00430260"/>
    <w:rsid w:val="0043448D"/>
    <w:rsid w:val="00435D14"/>
    <w:rsid w:val="00442C49"/>
    <w:rsid w:val="004436BD"/>
    <w:rsid w:val="00443824"/>
    <w:rsid w:val="00445886"/>
    <w:rsid w:val="00446BE1"/>
    <w:rsid w:val="00447A1F"/>
    <w:rsid w:val="00457FA2"/>
    <w:rsid w:val="00474476"/>
    <w:rsid w:val="00481F3E"/>
    <w:rsid w:val="004825B0"/>
    <w:rsid w:val="00484047"/>
    <w:rsid w:val="004859EC"/>
    <w:rsid w:val="004868F5"/>
    <w:rsid w:val="00487558"/>
    <w:rsid w:val="00490348"/>
    <w:rsid w:val="00490FDA"/>
    <w:rsid w:val="00495D59"/>
    <w:rsid w:val="004A6EDF"/>
    <w:rsid w:val="004A7EBA"/>
    <w:rsid w:val="004B6360"/>
    <w:rsid w:val="004C43EE"/>
    <w:rsid w:val="004C531B"/>
    <w:rsid w:val="004C6281"/>
    <w:rsid w:val="004E0683"/>
    <w:rsid w:val="004E2A71"/>
    <w:rsid w:val="004F1303"/>
    <w:rsid w:val="004F6B95"/>
    <w:rsid w:val="0050274F"/>
    <w:rsid w:val="0050627E"/>
    <w:rsid w:val="00517C9A"/>
    <w:rsid w:val="005244A4"/>
    <w:rsid w:val="00533EE1"/>
    <w:rsid w:val="00534DE4"/>
    <w:rsid w:val="00537174"/>
    <w:rsid w:val="00542058"/>
    <w:rsid w:val="00542431"/>
    <w:rsid w:val="00551F4B"/>
    <w:rsid w:val="0055523A"/>
    <w:rsid w:val="005567D0"/>
    <w:rsid w:val="00556EFE"/>
    <w:rsid w:val="00571AF2"/>
    <w:rsid w:val="00576630"/>
    <w:rsid w:val="005774DD"/>
    <w:rsid w:val="005824B1"/>
    <w:rsid w:val="00582738"/>
    <w:rsid w:val="00584A57"/>
    <w:rsid w:val="00587319"/>
    <w:rsid w:val="00587323"/>
    <w:rsid w:val="0059025D"/>
    <w:rsid w:val="00591271"/>
    <w:rsid w:val="00591F8A"/>
    <w:rsid w:val="005924EB"/>
    <w:rsid w:val="00593158"/>
    <w:rsid w:val="00596D9D"/>
    <w:rsid w:val="00596E88"/>
    <w:rsid w:val="00596E94"/>
    <w:rsid w:val="005A5607"/>
    <w:rsid w:val="005A79F9"/>
    <w:rsid w:val="005B2574"/>
    <w:rsid w:val="005B5074"/>
    <w:rsid w:val="005D0F0F"/>
    <w:rsid w:val="005D4B9F"/>
    <w:rsid w:val="005D7EAC"/>
    <w:rsid w:val="005E04D8"/>
    <w:rsid w:val="005E1CB4"/>
    <w:rsid w:val="005E7D30"/>
    <w:rsid w:val="005F10E9"/>
    <w:rsid w:val="005F43CE"/>
    <w:rsid w:val="005F7396"/>
    <w:rsid w:val="006053ED"/>
    <w:rsid w:val="00607848"/>
    <w:rsid w:val="00613DEF"/>
    <w:rsid w:val="00613F87"/>
    <w:rsid w:val="00623C87"/>
    <w:rsid w:val="00624D7D"/>
    <w:rsid w:val="006310DD"/>
    <w:rsid w:val="00632039"/>
    <w:rsid w:val="006420C9"/>
    <w:rsid w:val="006654C1"/>
    <w:rsid w:val="006777E8"/>
    <w:rsid w:val="00677CFB"/>
    <w:rsid w:val="00692969"/>
    <w:rsid w:val="00695406"/>
    <w:rsid w:val="0069632C"/>
    <w:rsid w:val="0069759E"/>
    <w:rsid w:val="006A4858"/>
    <w:rsid w:val="006A4C7D"/>
    <w:rsid w:val="006B3877"/>
    <w:rsid w:val="006C21AA"/>
    <w:rsid w:val="006C30F4"/>
    <w:rsid w:val="006C4BC8"/>
    <w:rsid w:val="006C521F"/>
    <w:rsid w:val="006C71A1"/>
    <w:rsid w:val="006D3AAD"/>
    <w:rsid w:val="006D47CD"/>
    <w:rsid w:val="006D78E7"/>
    <w:rsid w:val="006E7698"/>
    <w:rsid w:val="006F42B4"/>
    <w:rsid w:val="007016A7"/>
    <w:rsid w:val="00714645"/>
    <w:rsid w:val="007156F0"/>
    <w:rsid w:val="00724D5F"/>
    <w:rsid w:val="00725990"/>
    <w:rsid w:val="00741113"/>
    <w:rsid w:val="00743EE6"/>
    <w:rsid w:val="00745297"/>
    <w:rsid w:val="00746EF0"/>
    <w:rsid w:val="0075051D"/>
    <w:rsid w:val="00755104"/>
    <w:rsid w:val="00761A0B"/>
    <w:rsid w:val="007734A5"/>
    <w:rsid w:val="0077476E"/>
    <w:rsid w:val="00785ED3"/>
    <w:rsid w:val="0078668B"/>
    <w:rsid w:val="00786C2B"/>
    <w:rsid w:val="007B7247"/>
    <w:rsid w:val="007D382D"/>
    <w:rsid w:val="007E66DF"/>
    <w:rsid w:val="007F0267"/>
    <w:rsid w:val="007F0E3F"/>
    <w:rsid w:val="007F288F"/>
    <w:rsid w:val="007F7E66"/>
    <w:rsid w:val="00802D5F"/>
    <w:rsid w:val="00805E7B"/>
    <w:rsid w:val="00817EA5"/>
    <w:rsid w:val="008225E6"/>
    <w:rsid w:val="0082291A"/>
    <w:rsid w:val="0083046C"/>
    <w:rsid w:val="00844849"/>
    <w:rsid w:val="00846CE3"/>
    <w:rsid w:val="00851953"/>
    <w:rsid w:val="0085360C"/>
    <w:rsid w:val="00855577"/>
    <w:rsid w:val="008568E5"/>
    <w:rsid w:val="008571AC"/>
    <w:rsid w:val="008635FB"/>
    <w:rsid w:val="008A1A04"/>
    <w:rsid w:val="008C3A97"/>
    <w:rsid w:val="008D0AF6"/>
    <w:rsid w:val="008D3219"/>
    <w:rsid w:val="008D3315"/>
    <w:rsid w:val="008E2D73"/>
    <w:rsid w:val="008E4D45"/>
    <w:rsid w:val="008F582C"/>
    <w:rsid w:val="00903847"/>
    <w:rsid w:val="00912EC0"/>
    <w:rsid w:val="00916314"/>
    <w:rsid w:val="009220A3"/>
    <w:rsid w:val="009316F0"/>
    <w:rsid w:val="009367C5"/>
    <w:rsid w:val="00942A45"/>
    <w:rsid w:val="009432AA"/>
    <w:rsid w:val="009526A6"/>
    <w:rsid w:val="0095278C"/>
    <w:rsid w:val="009822E5"/>
    <w:rsid w:val="00991238"/>
    <w:rsid w:val="0099556B"/>
    <w:rsid w:val="009A20FD"/>
    <w:rsid w:val="009A5E8C"/>
    <w:rsid w:val="009A741B"/>
    <w:rsid w:val="009B716D"/>
    <w:rsid w:val="009D3CE9"/>
    <w:rsid w:val="009D5A61"/>
    <w:rsid w:val="009E0CD3"/>
    <w:rsid w:val="009E53A5"/>
    <w:rsid w:val="009F1BA7"/>
    <w:rsid w:val="009F2C52"/>
    <w:rsid w:val="00A025BF"/>
    <w:rsid w:val="00A07CD7"/>
    <w:rsid w:val="00A11660"/>
    <w:rsid w:val="00A13852"/>
    <w:rsid w:val="00A13DBF"/>
    <w:rsid w:val="00A15D7E"/>
    <w:rsid w:val="00A22613"/>
    <w:rsid w:val="00A35DB3"/>
    <w:rsid w:val="00A35EE3"/>
    <w:rsid w:val="00A37A3C"/>
    <w:rsid w:val="00A4118B"/>
    <w:rsid w:val="00A52A62"/>
    <w:rsid w:val="00A539ED"/>
    <w:rsid w:val="00A55757"/>
    <w:rsid w:val="00A62608"/>
    <w:rsid w:val="00A65E60"/>
    <w:rsid w:val="00A661F6"/>
    <w:rsid w:val="00A7023E"/>
    <w:rsid w:val="00A71193"/>
    <w:rsid w:val="00A82A87"/>
    <w:rsid w:val="00A84647"/>
    <w:rsid w:val="00A849D4"/>
    <w:rsid w:val="00A9031F"/>
    <w:rsid w:val="00A96FB8"/>
    <w:rsid w:val="00AA3070"/>
    <w:rsid w:val="00AA67B2"/>
    <w:rsid w:val="00AB2BEB"/>
    <w:rsid w:val="00AB5955"/>
    <w:rsid w:val="00AC0B72"/>
    <w:rsid w:val="00AC1662"/>
    <w:rsid w:val="00AC27F9"/>
    <w:rsid w:val="00AD2EAF"/>
    <w:rsid w:val="00AD33C8"/>
    <w:rsid w:val="00AD6AA4"/>
    <w:rsid w:val="00AE353A"/>
    <w:rsid w:val="00AE5E91"/>
    <w:rsid w:val="00AF19E4"/>
    <w:rsid w:val="00AF497F"/>
    <w:rsid w:val="00AF61D8"/>
    <w:rsid w:val="00B04B3D"/>
    <w:rsid w:val="00B05AFA"/>
    <w:rsid w:val="00B11F58"/>
    <w:rsid w:val="00B21E03"/>
    <w:rsid w:val="00B317DC"/>
    <w:rsid w:val="00B3333F"/>
    <w:rsid w:val="00B34C40"/>
    <w:rsid w:val="00B45867"/>
    <w:rsid w:val="00B56E50"/>
    <w:rsid w:val="00B624D6"/>
    <w:rsid w:val="00B70F81"/>
    <w:rsid w:val="00B719EE"/>
    <w:rsid w:val="00B74096"/>
    <w:rsid w:val="00B75048"/>
    <w:rsid w:val="00B839DF"/>
    <w:rsid w:val="00B9091F"/>
    <w:rsid w:val="00B94864"/>
    <w:rsid w:val="00B95FB5"/>
    <w:rsid w:val="00BA299C"/>
    <w:rsid w:val="00BB6720"/>
    <w:rsid w:val="00BC6C5B"/>
    <w:rsid w:val="00BC7F35"/>
    <w:rsid w:val="00BD1C13"/>
    <w:rsid w:val="00BD2E50"/>
    <w:rsid w:val="00BD6A30"/>
    <w:rsid w:val="00BD7BD2"/>
    <w:rsid w:val="00BD7F7E"/>
    <w:rsid w:val="00BF19AE"/>
    <w:rsid w:val="00BF2AEF"/>
    <w:rsid w:val="00BF66E0"/>
    <w:rsid w:val="00C13F11"/>
    <w:rsid w:val="00C140EB"/>
    <w:rsid w:val="00C259DA"/>
    <w:rsid w:val="00C2652B"/>
    <w:rsid w:val="00C4018E"/>
    <w:rsid w:val="00C558CB"/>
    <w:rsid w:val="00C627B5"/>
    <w:rsid w:val="00C63DB3"/>
    <w:rsid w:val="00C93FEC"/>
    <w:rsid w:val="00C9584B"/>
    <w:rsid w:val="00C96248"/>
    <w:rsid w:val="00CA293F"/>
    <w:rsid w:val="00CB1A28"/>
    <w:rsid w:val="00CB46E0"/>
    <w:rsid w:val="00CD1096"/>
    <w:rsid w:val="00CE1E6D"/>
    <w:rsid w:val="00CE548A"/>
    <w:rsid w:val="00CF2249"/>
    <w:rsid w:val="00D00045"/>
    <w:rsid w:val="00D028EB"/>
    <w:rsid w:val="00D03051"/>
    <w:rsid w:val="00D034CF"/>
    <w:rsid w:val="00D053B6"/>
    <w:rsid w:val="00D054AE"/>
    <w:rsid w:val="00D15374"/>
    <w:rsid w:val="00D224A2"/>
    <w:rsid w:val="00D268AA"/>
    <w:rsid w:val="00D27BF5"/>
    <w:rsid w:val="00D30496"/>
    <w:rsid w:val="00D3278F"/>
    <w:rsid w:val="00D35AEF"/>
    <w:rsid w:val="00D36CBB"/>
    <w:rsid w:val="00D4319E"/>
    <w:rsid w:val="00D51962"/>
    <w:rsid w:val="00D57DA3"/>
    <w:rsid w:val="00D7471E"/>
    <w:rsid w:val="00D75063"/>
    <w:rsid w:val="00D769B9"/>
    <w:rsid w:val="00D9272C"/>
    <w:rsid w:val="00DB3DEE"/>
    <w:rsid w:val="00DC0B32"/>
    <w:rsid w:val="00DC246B"/>
    <w:rsid w:val="00DC4F33"/>
    <w:rsid w:val="00DE0652"/>
    <w:rsid w:val="00DE5AFE"/>
    <w:rsid w:val="00DE75A8"/>
    <w:rsid w:val="00DF7B64"/>
    <w:rsid w:val="00E109BD"/>
    <w:rsid w:val="00E3200A"/>
    <w:rsid w:val="00E32802"/>
    <w:rsid w:val="00E33300"/>
    <w:rsid w:val="00E4138C"/>
    <w:rsid w:val="00E45675"/>
    <w:rsid w:val="00E52056"/>
    <w:rsid w:val="00E53BCC"/>
    <w:rsid w:val="00E66956"/>
    <w:rsid w:val="00E70059"/>
    <w:rsid w:val="00E92EEE"/>
    <w:rsid w:val="00E955EB"/>
    <w:rsid w:val="00E95B03"/>
    <w:rsid w:val="00EA17FD"/>
    <w:rsid w:val="00EA7B50"/>
    <w:rsid w:val="00EB2401"/>
    <w:rsid w:val="00EB3B08"/>
    <w:rsid w:val="00EB6872"/>
    <w:rsid w:val="00EC12C0"/>
    <w:rsid w:val="00EC578A"/>
    <w:rsid w:val="00ED1FA3"/>
    <w:rsid w:val="00EE099D"/>
    <w:rsid w:val="00EE3DEE"/>
    <w:rsid w:val="00EE73E3"/>
    <w:rsid w:val="00EF74D9"/>
    <w:rsid w:val="00F235A5"/>
    <w:rsid w:val="00F25758"/>
    <w:rsid w:val="00F313CE"/>
    <w:rsid w:val="00F35455"/>
    <w:rsid w:val="00F506FA"/>
    <w:rsid w:val="00F663E8"/>
    <w:rsid w:val="00F676B5"/>
    <w:rsid w:val="00F7195C"/>
    <w:rsid w:val="00F73593"/>
    <w:rsid w:val="00F7445B"/>
    <w:rsid w:val="00F853C8"/>
    <w:rsid w:val="00F94103"/>
    <w:rsid w:val="00FA37A1"/>
    <w:rsid w:val="00FA4070"/>
    <w:rsid w:val="00FB2B0A"/>
    <w:rsid w:val="00FB6529"/>
    <w:rsid w:val="00FC1C7B"/>
    <w:rsid w:val="00FC4860"/>
    <w:rsid w:val="00FC5A19"/>
    <w:rsid w:val="00FD1AA5"/>
    <w:rsid w:val="00FE5FF3"/>
    <w:rsid w:val="017D5B5D"/>
    <w:rsid w:val="018964C4"/>
    <w:rsid w:val="018A546E"/>
    <w:rsid w:val="02501755"/>
    <w:rsid w:val="02D45F64"/>
    <w:rsid w:val="031D625E"/>
    <w:rsid w:val="04D37589"/>
    <w:rsid w:val="04F84D6A"/>
    <w:rsid w:val="090C355C"/>
    <w:rsid w:val="09725346"/>
    <w:rsid w:val="0B81694F"/>
    <w:rsid w:val="0BE35DAC"/>
    <w:rsid w:val="0CD9188B"/>
    <w:rsid w:val="0CF0144C"/>
    <w:rsid w:val="0D8D0F09"/>
    <w:rsid w:val="0ED46221"/>
    <w:rsid w:val="10036CD1"/>
    <w:rsid w:val="10713C95"/>
    <w:rsid w:val="10D05F7B"/>
    <w:rsid w:val="10D74B47"/>
    <w:rsid w:val="10D940D5"/>
    <w:rsid w:val="110E464B"/>
    <w:rsid w:val="1193257A"/>
    <w:rsid w:val="12350C8C"/>
    <w:rsid w:val="13040091"/>
    <w:rsid w:val="137813C5"/>
    <w:rsid w:val="13F00463"/>
    <w:rsid w:val="1597537E"/>
    <w:rsid w:val="160D169F"/>
    <w:rsid w:val="16351E52"/>
    <w:rsid w:val="17A445EA"/>
    <w:rsid w:val="1A152B13"/>
    <w:rsid w:val="1ACF1D70"/>
    <w:rsid w:val="1B2E4AB6"/>
    <w:rsid w:val="1BA05E19"/>
    <w:rsid w:val="1BC750D9"/>
    <w:rsid w:val="1BCA4DEA"/>
    <w:rsid w:val="1CBC0CA4"/>
    <w:rsid w:val="1D531285"/>
    <w:rsid w:val="1D7741F0"/>
    <w:rsid w:val="1DD95CC8"/>
    <w:rsid w:val="1DE00529"/>
    <w:rsid w:val="1EE149B9"/>
    <w:rsid w:val="1FCC23FD"/>
    <w:rsid w:val="20803CC9"/>
    <w:rsid w:val="20F843D4"/>
    <w:rsid w:val="213C67D0"/>
    <w:rsid w:val="22312968"/>
    <w:rsid w:val="23692225"/>
    <w:rsid w:val="23986BA8"/>
    <w:rsid w:val="23B1534D"/>
    <w:rsid w:val="247B3E83"/>
    <w:rsid w:val="24D112D4"/>
    <w:rsid w:val="280156F1"/>
    <w:rsid w:val="28BB5EEC"/>
    <w:rsid w:val="294B6A1B"/>
    <w:rsid w:val="29836736"/>
    <w:rsid w:val="2A3D1CDF"/>
    <w:rsid w:val="2C407176"/>
    <w:rsid w:val="2C43365D"/>
    <w:rsid w:val="2D4F6EFD"/>
    <w:rsid w:val="2DEF0837"/>
    <w:rsid w:val="2E2045B6"/>
    <w:rsid w:val="3057035C"/>
    <w:rsid w:val="319B4E07"/>
    <w:rsid w:val="32717D49"/>
    <w:rsid w:val="327A16BC"/>
    <w:rsid w:val="32E40F88"/>
    <w:rsid w:val="33EF560A"/>
    <w:rsid w:val="34D83195"/>
    <w:rsid w:val="35E1749E"/>
    <w:rsid w:val="36DE68E2"/>
    <w:rsid w:val="3725105B"/>
    <w:rsid w:val="374E11F5"/>
    <w:rsid w:val="378E6657"/>
    <w:rsid w:val="37AE4516"/>
    <w:rsid w:val="382C5A31"/>
    <w:rsid w:val="38466AA7"/>
    <w:rsid w:val="38CF4A13"/>
    <w:rsid w:val="38DC44C0"/>
    <w:rsid w:val="39450ECB"/>
    <w:rsid w:val="39B148FC"/>
    <w:rsid w:val="39C03593"/>
    <w:rsid w:val="39ED33C5"/>
    <w:rsid w:val="3B325DA4"/>
    <w:rsid w:val="3B413488"/>
    <w:rsid w:val="3CF9593B"/>
    <w:rsid w:val="3D5634AC"/>
    <w:rsid w:val="3DAC47F0"/>
    <w:rsid w:val="3EAF4F44"/>
    <w:rsid w:val="3F4312D4"/>
    <w:rsid w:val="40497C0B"/>
    <w:rsid w:val="412F4ADB"/>
    <w:rsid w:val="41972106"/>
    <w:rsid w:val="43026B0B"/>
    <w:rsid w:val="437255D6"/>
    <w:rsid w:val="4385378C"/>
    <w:rsid w:val="439472FC"/>
    <w:rsid w:val="43B72AD8"/>
    <w:rsid w:val="446934C7"/>
    <w:rsid w:val="44B87D04"/>
    <w:rsid w:val="45584756"/>
    <w:rsid w:val="45697FEB"/>
    <w:rsid w:val="45983DA9"/>
    <w:rsid w:val="45BE49A8"/>
    <w:rsid w:val="465F0511"/>
    <w:rsid w:val="46B773CF"/>
    <w:rsid w:val="47994953"/>
    <w:rsid w:val="47D63703"/>
    <w:rsid w:val="47F821C6"/>
    <w:rsid w:val="48696DC4"/>
    <w:rsid w:val="48F253F7"/>
    <w:rsid w:val="4B76442B"/>
    <w:rsid w:val="4DF300E3"/>
    <w:rsid w:val="4F1B0D3B"/>
    <w:rsid w:val="4F410D8B"/>
    <w:rsid w:val="4FD54BD7"/>
    <w:rsid w:val="4FF0731B"/>
    <w:rsid w:val="5037646C"/>
    <w:rsid w:val="50805A11"/>
    <w:rsid w:val="509E21A7"/>
    <w:rsid w:val="50FA37BE"/>
    <w:rsid w:val="51763488"/>
    <w:rsid w:val="51AB1AE9"/>
    <w:rsid w:val="52597853"/>
    <w:rsid w:val="5278477C"/>
    <w:rsid w:val="5293068B"/>
    <w:rsid w:val="52CE1DAA"/>
    <w:rsid w:val="53612411"/>
    <w:rsid w:val="54246E44"/>
    <w:rsid w:val="542D76C3"/>
    <w:rsid w:val="558013AA"/>
    <w:rsid w:val="58854A82"/>
    <w:rsid w:val="59616A57"/>
    <w:rsid w:val="59C20618"/>
    <w:rsid w:val="59F936FF"/>
    <w:rsid w:val="5AE433A0"/>
    <w:rsid w:val="5B392306"/>
    <w:rsid w:val="5B673FCA"/>
    <w:rsid w:val="5B796234"/>
    <w:rsid w:val="5C781F43"/>
    <w:rsid w:val="5D370333"/>
    <w:rsid w:val="5E0B52B6"/>
    <w:rsid w:val="5E390074"/>
    <w:rsid w:val="5EB77CAA"/>
    <w:rsid w:val="60F872D1"/>
    <w:rsid w:val="61A80B65"/>
    <w:rsid w:val="62D857E5"/>
    <w:rsid w:val="64C55943"/>
    <w:rsid w:val="65073893"/>
    <w:rsid w:val="66341CC4"/>
    <w:rsid w:val="664D33E7"/>
    <w:rsid w:val="666B39D5"/>
    <w:rsid w:val="677238A4"/>
    <w:rsid w:val="68653982"/>
    <w:rsid w:val="68B520B8"/>
    <w:rsid w:val="68BC3135"/>
    <w:rsid w:val="69D5253C"/>
    <w:rsid w:val="6B44366A"/>
    <w:rsid w:val="6B6F018F"/>
    <w:rsid w:val="6BEC2F14"/>
    <w:rsid w:val="6CC6022B"/>
    <w:rsid w:val="6D563152"/>
    <w:rsid w:val="6F775864"/>
    <w:rsid w:val="6F9248F7"/>
    <w:rsid w:val="6FC9318C"/>
    <w:rsid w:val="70DC412C"/>
    <w:rsid w:val="71327FEE"/>
    <w:rsid w:val="72143475"/>
    <w:rsid w:val="72CB7215"/>
    <w:rsid w:val="730E4A21"/>
    <w:rsid w:val="734D342D"/>
    <w:rsid w:val="736A1C22"/>
    <w:rsid w:val="74247E87"/>
    <w:rsid w:val="74895648"/>
    <w:rsid w:val="749E2D88"/>
    <w:rsid w:val="74AE3AD6"/>
    <w:rsid w:val="756B4633"/>
    <w:rsid w:val="76783D7F"/>
    <w:rsid w:val="76B75890"/>
    <w:rsid w:val="77CA6CAD"/>
    <w:rsid w:val="78350136"/>
    <w:rsid w:val="79685A0B"/>
    <w:rsid w:val="7B1260CC"/>
    <w:rsid w:val="7B5573A2"/>
    <w:rsid w:val="7C756B24"/>
    <w:rsid w:val="7D512EED"/>
    <w:rsid w:val="7DED1B13"/>
    <w:rsid w:val="7F4A52A1"/>
    <w:rsid w:val="7F5B6B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sz w:val="24"/>
    </w:rPr>
  </w:style>
  <w:style w:type="character" w:customStyle="1" w:styleId="8">
    <w:name w:val="title_td1"/>
    <w:basedOn w:val="7"/>
    <w:autoRedefine/>
    <w:qFormat/>
    <w:uiPriority w:val="0"/>
    <w:rPr>
      <w:rFonts w:hint="default" w:ascii="Tahoma" w:hAnsi="Tahoma" w:cs="Tahoma"/>
      <w:b/>
      <w:bCs/>
      <w:color w:val="FF2200"/>
      <w:sz w:val="20"/>
      <w:szCs w:val="20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Work\&#32479;&#35745;&#20844;&#25253;\2021\2021&#24180;&#20844;&#25253;&#29992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Work\&#32479;&#35745;&#20844;&#25253;\2022&#24180;&#20844;&#25253;&#29992;&#3492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Work\&#32479;&#35745;&#20844;&#25253;\2022&#24180;&#20844;&#25253;&#29992;&#3492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Work\&#32479;&#35745;&#20844;&#25253;\2022&#24180;&#20844;&#25253;&#29992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D:\Work\&#32479;&#35745;&#20844;&#25253;\2022&#24180;&#20844;&#25253;&#29992;&#3492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Work\&#32479;&#35745;&#20844;&#25253;\2022&#24180;&#20844;&#25253;&#29992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0.00192631832410306"/>
                  <c:y val="0.0245283018867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40056022408964"/>
                  <c:y val="-0.01924980618999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40056022408964"/>
                  <c:y val="0.007317073170731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[2021年公报用表.xlsx]Sheet1!$J$12:$J$17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[2021年公报用表.xlsx]Sheet1!$K$12:$K$17</c:f>
              <c:numCache>
                <c:formatCode>General</c:formatCode>
                <c:ptCount val="6"/>
                <c:pt idx="0">
                  <c:v>3159112</c:v>
                </c:pt>
                <c:pt idx="1">
                  <c:v>3384084</c:v>
                </c:pt>
                <c:pt idx="2">
                  <c:v>3524822</c:v>
                </c:pt>
                <c:pt idx="3">
                  <c:v>4207112</c:v>
                </c:pt>
                <c:pt idx="4">
                  <c:v>4252681</c:v>
                </c:pt>
                <c:pt idx="5">
                  <c:v>4310082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279168"/>
        <c:axId val="158280704"/>
      </c:barChart>
      <c:lineChart>
        <c:grouping val="standard"/>
        <c:varyColors val="0"/>
        <c:ser>
          <c:idx val="1"/>
          <c:order val="1"/>
          <c:dLbls>
            <c:dLbl>
              <c:idx val="0"/>
              <c:layout>
                <c:manualLayout>
                  <c:x val="-0.0360360300212344"/>
                  <c:y val="0.0554197229013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60360300212344"/>
                  <c:y val="-0.0391198044009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64145658263305"/>
                  <c:y val="0.1195121951219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58021647736515"/>
                  <c:y val="0.01690619595682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790314613838977"/>
                  <c:y val="0.002977041718564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[2021年公报用表.xlsx]Sheet1!$J$12:$J$17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[2021年公报用表.xlsx]Sheet1!$L$12:$L$17</c:f>
              <c:numCache>
                <c:formatCode>0.0_ </c:formatCode>
                <c:ptCount val="6"/>
                <c:pt idx="0">
                  <c:v>14.4</c:v>
                </c:pt>
                <c:pt idx="1" c:formatCode="General">
                  <c:v>7.6</c:v>
                </c:pt>
                <c:pt idx="2" c:formatCode="General">
                  <c:v>6.1</c:v>
                </c:pt>
                <c:pt idx="3">
                  <c:v>8</c:v>
                </c:pt>
                <c:pt idx="4" c:formatCode="General">
                  <c:v>-2.1</c:v>
                </c:pt>
                <c:pt idx="5" c:formatCode="General">
                  <c:v>3.5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542848"/>
        <c:axId val="178541312"/>
      </c:lineChart>
      <c:catAx>
        <c:axId val="1582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8280704"/>
        <c:crosses val="autoZero"/>
        <c:auto val="1"/>
        <c:lblAlgn val="ctr"/>
        <c:lblOffset val="100"/>
        <c:noMultiLvlLbl val="0"/>
      </c:catAx>
      <c:valAx>
        <c:axId val="1582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8279168"/>
        <c:crosses val="autoZero"/>
        <c:crossBetween val="between"/>
      </c:valAx>
      <c:catAx>
        <c:axId val="17854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541312"/>
        <c:crosses val="autoZero"/>
        <c:auto val="1"/>
        <c:lblAlgn val="ctr"/>
        <c:lblOffset val="100"/>
        <c:noMultiLvlLbl val="0"/>
      </c:catAx>
      <c:valAx>
        <c:axId val="17854131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542848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0.01001830868702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43106188297616"/>
                  <c:y val="0.01463414634146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[2021年公报用表.xlsx]Sheet1!$K$41:$K$46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[2021年公报用表.xlsx]Sheet1!$L$41:$L$46</c:f>
              <c:numCache>
                <c:formatCode>General</c:formatCode>
                <c:ptCount val="6"/>
                <c:pt idx="0">
                  <c:v>82898</c:v>
                </c:pt>
                <c:pt idx="1">
                  <c:v>94848</c:v>
                </c:pt>
                <c:pt idx="2">
                  <c:v>95058</c:v>
                </c:pt>
                <c:pt idx="3">
                  <c:v>140243</c:v>
                </c:pt>
                <c:pt idx="4">
                  <c:v>157617</c:v>
                </c:pt>
                <c:pt idx="5">
                  <c:v>169358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610560"/>
        <c:axId val="178612096"/>
      </c:barChart>
      <c:lineChart>
        <c:grouping val="standard"/>
        <c:varyColors val="0"/>
        <c:ser>
          <c:idx val="1"/>
          <c:order val="1"/>
          <c:dLbls>
            <c:dLbl>
              <c:idx val="0"/>
              <c:layout>
                <c:manualLayout>
                  <c:x val="0.00911205569993102"/>
                  <c:y val="0.03692159473578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46167429167666"/>
                  <c:y val="-0.009967182472969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41686413007015"/>
                  <c:y val="-0.04814865267228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59681957137544"/>
                  <c:y val="-0.03658536585365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0752148619825"/>
                  <c:y val="-0.0481998030441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366617958847581"/>
                  <c:y val="0.0040163039982732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7.</a:t>
                    </a:r>
                    <a:r>
                      <a:rPr lang="en-US" altLang="zh-CN"/>
                      <a:t>4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[2021年公报用表.xlsx]Sheet1!$K$41:$K$46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[2021年公报用表.xlsx]Sheet1!$M$41:$M$46</c:f>
              <c:numCache>
                <c:formatCode>General</c:formatCode>
                <c:ptCount val="6"/>
                <c:pt idx="0">
                  <c:v>10.5</c:v>
                </c:pt>
                <c:pt idx="1">
                  <c:v>14.4</c:v>
                </c:pt>
                <c:pt idx="2">
                  <c:v>0.2</c:v>
                </c:pt>
                <c:pt idx="3">
                  <c:v>47.5</c:v>
                </c:pt>
                <c:pt idx="4">
                  <c:v>12.4</c:v>
                </c:pt>
                <c:pt idx="5">
                  <c:v>7.5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623616"/>
        <c:axId val="178613632"/>
      </c:lineChart>
      <c:catAx>
        <c:axId val="17861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612096"/>
        <c:crosses val="autoZero"/>
        <c:auto val="1"/>
        <c:lblAlgn val="ctr"/>
        <c:lblOffset val="100"/>
        <c:noMultiLvlLbl val="0"/>
      </c:catAx>
      <c:valAx>
        <c:axId val="17861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610560"/>
        <c:crosses val="autoZero"/>
        <c:crossBetween val="between"/>
      </c:valAx>
      <c:catAx>
        <c:axId val="17862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613632"/>
        <c:crosses val="autoZero"/>
        <c:auto val="1"/>
        <c:lblAlgn val="ctr"/>
        <c:lblOffset val="100"/>
        <c:noMultiLvlLbl val="0"/>
      </c:catAx>
      <c:valAx>
        <c:axId val="1786136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623616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182852143482"/>
          <c:y val="0.168298702245553"/>
          <c:w val="0.876456036745407"/>
          <c:h val="0.78608778069408"/>
        </c:manualLayout>
      </c:layout>
      <c:lineChart>
        <c:grouping val="standard"/>
        <c:varyColors val="0"/>
        <c:ser>
          <c:idx val="0"/>
          <c:order val="0"/>
          <c:dLbls>
            <c:dLbl>
              <c:idx val="2"/>
              <c:layout>
                <c:manualLayout>
                  <c:x val="-0.0249999999999999"/>
                  <c:y val="-0.041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09279892395407"/>
                  <c:y val="-0.05159498009730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55935985973924"/>
                  <c:y val="0.05542041377954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[2022年公报用表.xlsx]Sheet1!$K$65:$K$70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[2022年公报用表.xlsx]Sheet1!$L$65:$L$70</c:f>
              <c:numCache>
                <c:formatCode>0.0_ </c:formatCode>
                <c:ptCount val="6"/>
                <c:pt idx="0">
                  <c:v>18.8</c:v>
                </c:pt>
                <c:pt idx="1" c:formatCode="General">
                  <c:v>6.3</c:v>
                </c:pt>
                <c:pt idx="2" c:formatCode="General">
                  <c:v>2.1</c:v>
                </c:pt>
                <c:pt idx="3">
                  <c:v>9</c:v>
                </c:pt>
                <c:pt idx="4" c:formatCode="General">
                  <c:v>14.5</c:v>
                </c:pt>
                <c:pt idx="5" c:formatCode="General">
                  <c:v>3.9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5697280"/>
        <c:axId val="255698816"/>
      </c:lineChart>
      <c:catAx>
        <c:axId val="255697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5698816"/>
        <c:crosses val="autoZero"/>
        <c:auto val="1"/>
        <c:lblAlgn val="ctr"/>
        <c:lblOffset val="100"/>
        <c:noMultiLvlLbl val="0"/>
      </c:catAx>
      <c:valAx>
        <c:axId val="255698816"/>
        <c:scaling>
          <c:orientation val="minMax"/>
        </c:scaling>
        <c:delete val="0"/>
        <c:axPos val="l"/>
        <c:majorGridlines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56972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0.01001830868702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[2022年公报用表.xlsx]Sheet1!$K$85:$K$90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[2022年公报用表.xlsx]Sheet1!$L$85:$L$90</c:f>
              <c:numCache>
                <c:formatCode>General</c:formatCode>
                <c:ptCount val="6"/>
                <c:pt idx="0">
                  <c:v>240.6</c:v>
                </c:pt>
                <c:pt idx="1">
                  <c:v>260.8</c:v>
                </c:pt>
                <c:pt idx="2">
                  <c:v>283.5</c:v>
                </c:pt>
                <c:pt idx="3">
                  <c:v>322.2</c:v>
                </c:pt>
                <c:pt idx="4">
                  <c:v>285.3</c:v>
                </c:pt>
                <c:pt idx="5">
                  <c:v>309.1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483200"/>
        <c:axId val="178484736"/>
      </c:barChart>
      <c:lineChart>
        <c:grouping val="standard"/>
        <c:varyColors val="0"/>
        <c:ser>
          <c:idx val="1"/>
          <c:order val="1"/>
          <c:dLbls>
            <c:dLbl>
              <c:idx val="0"/>
              <c:layout>
                <c:manualLayout>
                  <c:x val="-0.0360360300212344"/>
                  <c:y val="0.0554197229013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60360300212344"/>
                  <c:y val="-0.0391198044009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955323464143702"/>
                  <c:y val="0.05705893483020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0752148619825"/>
                  <c:y val="-0.01009246154360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17485879172741"/>
                  <c:y val="0.04455642355934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[2022年公报用表.xlsx]Sheet1!$K$85:$K$90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[2022年公报用表.xlsx]Sheet1!$M$85:$M$90</c:f>
              <c:numCache>
                <c:formatCode>0.0_ </c:formatCode>
                <c:ptCount val="6"/>
                <c:pt idx="0">
                  <c:v>10</c:v>
                </c:pt>
                <c:pt idx="1" c:formatCode="General">
                  <c:v>8.4</c:v>
                </c:pt>
                <c:pt idx="2" c:formatCode="General">
                  <c:v>0.4</c:v>
                </c:pt>
                <c:pt idx="3" c:formatCode="General">
                  <c:v>13.6</c:v>
                </c:pt>
                <c:pt idx="4" c:formatCode="General">
                  <c:v>-1.1</c:v>
                </c:pt>
                <c:pt idx="5" c:formatCode="General">
                  <c:v>8.4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488064"/>
        <c:axId val="178486272"/>
      </c:lineChart>
      <c:catAx>
        <c:axId val="17848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84736"/>
        <c:crosses val="autoZero"/>
        <c:auto val="1"/>
        <c:lblAlgn val="ctr"/>
        <c:lblOffset val="100"/>
        <c:noMultiLvlLbl val="0"/>
      </c:catAx>
      <c:valAx>
        <c:axId val="1784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83200"/>
        <c:crosses val="autoZero"/>
        <c:crossBetween val="between"/>
      </c:valAx>
      <c:catAx>
        <c:axId val="178488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86272"/>
        <c:crosses val="autoZero"/>
        <c:auto val="1"/>
        <c:lblAlgn val="ctr"/>
        <c:lblOffset val="100"/>
        <c:noMultiLvlLbl val="0"/>
      </c:catAx>
      <c:valAx>
        <c:axId val="17848627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88064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0.01001830868702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02389151958674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392.</a:t>
                    </a:r>
                    <a:r>
                      <a:rPr lang="en-US" altLang="zh-CN"/>
                      <a:t>7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[2022年公报用表.xlsx]Sheet1!$K$162:$K$167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[2022年公报用表.xlsx]Sheet1!$L$162:$L$167</c:f>
              <c:numCache>
                <c:formatCode>General</c:formatCode>
                <c:ptCount val="6"/>
                <c:pt idx="0">
                  <c:v>208.8</c:v>
                </c:pt>
                <c:pt idx="1">
                  <c:v>236.1</c:v>
                </c:pt>
                <c:pt idx="2">
                  <c:v>250.9</c:v>
                </c:pt>
                <c:pt idx="3">
                  <c:v>287.1</c:v>
                </c:pt>
                <c:pt idx="4">
                  <c:v>316.6</c:v>
                </c:pt>
                <c:pt idx="5">
                  <c:v>392.6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508480"/>
        <c:axId val="257855488"/>
      </c:barChart>
      <c:lineChart>
        <c:grouping val="standard"/>
        <c:varyColors val="0"/>
        <c:ser>
          <c:idx val="1"/>
          <c:order val="1"/>
          <c:dLbls>
            <c:dLbl>
              <c:idx val="0"/>
              <c:layout>
                <c:manualLayout>
                  <c:x val="-0.0360360300212345"/>
                  <c:y val="0.08468801558431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61111111111111"/>
                  <c:y val="0.1658536585365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0324066300361"/>
                  <c:y val="0.099904487548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74116101129837"/>
                  <c:y val="-0.04443266171792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18693633545677"/>
                  <c:y val="0.06080863498121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26002409375161"/>
                  <c:y val="0.04699544794958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[2022年公报用表.xlsx]Sheet1!$K$162:$K$167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[2022年公报用表.xlsx]Sheet1!$M$162:$M$167</c:f>
              <c:numCache>
                <c:formatCode>General</c:formatCode>
                <c:ptCount val="6"/>
                <c:pt idx="0">
                  <c:v>10.7</c:v>
                </c:pt>
                <c:pt idx="1">
                  <c:v>6.7</c:v>
                </c:pt>
                <c:pt idx="2">
                  <c:v>4.2</c:v>
                </c:pt>
                <c:pt idx="3">
                  <c:v>9.5</c:v>
                </c:pt>
                <c:pt idx="4">
                  <c:v>2.6</c:v>
                </c:pt>
                <c:pt idx="5">
                  <c:v>4.9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7858560"/>
        <c:axId val="257857024"/>
      </c:lineChart>
      <c:catAx>
        <c:axId val="2575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5488"/>
        <c:crosses val="autoZero"/>
        <c:auto val="1"/>
        <c:lblAlgn val="ctr"/>
        <c:lblOffset val="100"/>
        <c:noMultiLvlLbl val="0"/>
      </c:catAx>
      <c:valAx>
        <c:axId val="25785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508480"/>
        <c:crosses val="autoZero"/>
        <c:crossBetween val="between"/>
      </c:valAx>
      <c:catAx>
        <c:axId val="257858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7024"/>
        <c:crosses val="autoZero"/>
        <c:auto val="1"/>
        <c:lblAlgn val="ctr"/>
        <c:lblOffset val="100"/>
        <c:noMultiLvlLbl val="0"/>
      </c:catAx>
      <c:valAx>
        <c:axId val="2578570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8560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lineChart>
        <c:grouping val="standard"/>
        <c:varyColors val="0"/>
        <c:ser>
          <c:idx val="1"/>
          <c:order val="0"/>
          <c:spPr>
            <a:ln w="28575" cap="rnd" cmpd="sng" algn="ctr">
              <a:solidFill>
                <a:srgbClr val="0070C0"/>
              </a:solidFill>
              <a:prstDash val="solid"/>
              <a:round/>
            </a:ln>
          </c:spPr>
          <c:marker>
            <c:spPr>
              <a:solidFill>
                <a:srgbClr val="0070C0"/>
              </a:solidFill>
              <a:ln w="9525" cap="flat" cmpd="sng" algn="ctr">
                <a:solidFill>
                  <a:srgbClr val="0070C0"/>
                </a:solidFill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360360300212345"/>
                  <c:y val="0.0554197229013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60360300212344"/>
                  <c:y val="-0.0391198044009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66348623804209"/>
                  <c:y val="0.05853658536585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6471411323455"/>
                  <c:y val="0.06324765937145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81557964930717"/>
                  <c:y val="-0.0651996740016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[2022年公报用表.xlsx]Sheet1!$K$112:$K$117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[2022年公报用表.xlsx]Sheet1!$M$112:$M$117</c:f>
              <c:numCache>
                <c:formatCode>General</c:formatCode>
                <c:ptCount val="6"/>
                <c:pt idx="0">
                  <c:v>10.3</c:v>
                </c:pt>
                <c:pt idx="1">
                  <c:v>14.2</c:v>
                </c:pt>
                <c:pt idx="2">
                  <c:v>2.6</c:v>
                </c:pt>
                <c:pt idx="3">
                  <c:v>7.2</c:v>
                </c:pt>
                <c:pt idx="4" c:formatCode="0.0_ ">
                  <c:v>-5</c:v>
                </c:pt>
                <c:pt idx="5">
                  <c:v>7.1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514176"/>
        <c:axId val="255864832"/>
      </c:lineChart>
      <c:catAx>
        <c:axId val="17851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255864832"/>
        <c:crosses val="autoZero"/>
        <c:auto val="1"/>
        <c:lblAlgn val="ctr"/>
        <c:lblOffset val="100"/>
        <c:noMultiLvlLbl val="0"/>
      </c:catAx>
      <c:valAx>
        <c:axId val="25586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78514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919147099442"/>
          <c:y val="0.143773495305752"/>
          <c:w val="0.817315020331398"/>
          <c:h val="0.7607877866122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0.01001830868702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301023479831427"/>
                  <c:y val="-0.04070796460176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20469596628537"/>
                  <c:y val="0.03495575221238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[2022年公报用表.xlsx]Sheet1!$K$138:$K$143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[2022年公报用表.xlsx]Sheet1!$L$138:$L$143</c:f>
              <c:numCache>
                <c:formatCode>General</c:formatCode>
                <c:ptCount val="6"/>
                <c:pt idx="0">
                  <c:v>34350</c:v>
                </c:pt>
                <c:pt idx="1">
                  <c:v>37023</c:v>
                </c:pt>
                <c:pt idx="2">
                  <c:v>38780</c:v>
                </c:pt>
                <c:pt idx="3">
                  <c:v>41588</c:v>
                </c:pt>
                <c:pt idx="4">
                  <c:v>44195</c:v>
                </c:pt>
                <c:pt idx="5">
                  <c:v>46385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508480"/>
        <c:axId val="257855488"/>
      </c:barChart>
      <c:lineChart>
        <c:grouping val="standard"/>
        <c:varyColors val="0"/>
        <c:ser>
          <c:idx val="1"/>
          <c:order val="1"/>
          <c:dLbls>
            <c:dLbl>
              <c:idx val="0"/>
              <c:layout>
                <c:manualLayout>
                  <c:x val="-0.0561443984739738"/>
                  <c:y val="-0.05181640919444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1683055722791"/>
                  <c:y val="-0.0573764299589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0324066300361"/>
                  <c:y val="0.099904487548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4681957137542"/>
                  <c:y val="0.15121951219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18693633545677"/>
                  <c:y val="0.06080863498121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26002409375161"/>
                  <c:y val="0.04699544794958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[2022年公报用表.xlsx]Sheet1!$K$138:$K$143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[2022年公报用表.xlsx]Sheet1!$M$138:$M$143</c:f>
              <c:numCache>
                <c:formatCode>General</c:formatCode>
                <c:ptCount val="6"/>
                <c:pt idx="0">
                  <c:v>6.9</c:v>
                </c:pt>
                <c:pt idx="1">
                  <c:v>7.8</c:v>
                </c:pt>
                <c:pt idx="2">
                  <c:v>4.7</c:v>
                </c:pt>
                <c:pt idx="3">
                  <c:v>7.2</c:v>
                </c:pt>
                <c:pt idx="4">
                  <c:v>6.3</c:v>
                </c:pt>
                <c:pt idx="5" c:formatCode="0.0_ 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7858560"/>
        <c:axId val="257857024"/>
      </c:lineChart>
      <c:catAx>
        <c:axId val="25750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5488"/>
        <c:crosses val="autoZero"/>
        <c:auto val="1"/>
        <c:lblAlgn val="ctr"/>
        <c:lblOffset val="100"/>
        <c:noMultiLvlLbl val="0"/>
      </c:catAx>
      <c:valAx>
        <c:axId val="25785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508480"/>
        <c:crosses val="autoZero"/>
        <c:crossBetween val="between"/>
      </c:valAx>
      <c:catAx>
        <c:axId val="257858560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7024"/>
        <c:crosses val="autoZero"/>
        <c:auto val="1"/>
        <c:lblAlgn val="ctr"/>
        <c:lblOffset val="100"/>
        <c:noMultiLvlLbl val="0"/>
      </c:catAx>
      <c:valAx>
        <c:axId val="2578570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858560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0.09539</cdr:x>
      <cdr:y>0.02445</cdr:y>
    </cdr:from>
    <cdr:to>
      <cdr:x>0.31002</cdr:x>
      <cdr:y>0.10269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71500" y="95250"/>
          <a:ext cx="1285875" cy="3048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zh-CN" altLang="en-US" sz="1100"/>
            <a:t>亿元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0.85374</cdr:x>
      <cdr:y>0.02689</cdr:y>
    </cdr:from>
    <cdr:to>
      <cdr:x>0.93482</cdr:x>
      <cdr:y>0.09535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5114926" y="104775"/>
          <a:ext cx="485775" cy="2667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0.0634622222222222</cdr:x>
      <cdr:y>0.0342070731707317</cdr:y>
    </cdr:from>
    <cdr:to>
      <cdr:x>0.144542222222222</cdr:x>
      <cdr:y>0.102667073170732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35224" y="133587"/>
          <a:ext cx="556047" cy="26735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0.09539</cdr:x>
      <cdr:y>0.02445</cdr:y>
    </cdr:from>
    <cdr:to>
      <cdr:x>0.31002</cdr:x>
      <cdr:y>0.10269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71500" y="95250"/>
          <a:ext cx="1285875" cy="3048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/>
            <a:t>亿元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0.8968</cdr:x>
      <cdr:y>0.03421</cdr:y>
    </cdr:from>
    <cdr:to>
      <cdr:x>0.97788</cdr:x>
      <cdr:y>0.10267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6150224" y="133587"/>
          <a:ext cx="556047" cy="26735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0.90417</cdr:x>
      <cdr:y>0.01736</cdr:y>
    </cdr:from>
    <cdr:to>
      <cdr:x>0.96817</cdr:x>
      <cdr:y>0.10404</cdr:y>
    </cdr:to>
    <cdr:pic xmlns:a="http://schemas.openxmlformats.org/drawingml/2006/main">
      <cdr:nvPicPr>
        <cdr:cNvPr id="2" name="图片 1"/>
        <cdr:cNvPicPr/>
      </cdr:nvPicPr>
      <cdr:blipFill>
        <a:blip xmlns:r="http://schemas.openxmlformats.org/officeDocument/2006/relationships" r:embed="rId1"/>
        <a:stretch>
          <a:fillRect/>
        </a:stretch>
      </cdr:blipFill>
      <cdr:spPr>
        <a:xfrm>
          <a:off x="4133850" y="47625"/>
          <a:ext cx="292633" cy="237765"/>
        </a:xfrm>
        <a:prstGeom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0.09539</cdr:x>
      <cdr:y>0.02445</cdr:y>
    </cdr:from>
    <cdr:to>
      <cdr:x>0.31002</cdr:x>
      <cdr:y>0.10269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71500" y="95250"/>
          <a:ext cx="1285875" cy="3048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zh-CN" altLang="en-US" sz="1100"/>
            <a:t>万元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0.85374</cdr:x>
      <cdr:y>0.02689</cdr:y>
    </cdr:from>
    <cdr:to>
      <cdr:x>0.93482</cdr:x>
      <cdr:y>0.09535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5114926" y="104775"/>
          <a:ext cx="485775" cy="2667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0.01136</cdr:x>
      <cdr:y>0.02689</cdr:y>
    </cdr:from>
    <cdr:to>
      <cdr:x>0.22599</cdr:x>
      <cdr:y>0.10513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77233" y="105008"/>
          <a:ext cx="1459666" cy="305547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zh-CN" altLang="en-US" sz="1100"/>
            <a:t>单位：万元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0.91892</cdr:x>
      <cdr:y>0.03909</cdr:y>
    </cdr:from>
    <cdr:to>
      <cdr:x>1</cdr:x>
      <cdr:y>0.10755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6249437" y="152637"/>
          <a:ext cx="551413" cy="26735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0.10175</cdr:x>
      <cdr:y>0.022</cdr:y>
    </cdr:from>
    <cdr:to>
      <cdr:x>0.24642</cdr:x>
      <cdr:y>0.10758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09600" y="85725"/>
          <a:ext cx="866775" cy="33337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  <cdr:relSizeAnchor xmlns:cdr="http://schemas.openxmlformats.org/drawingml/2006/chartDrawing">
    <cdr:from>
      <cdr:x>0.09539</cdr:x>
      <cdr:y>0.02445</cdr:y>
    </cdr:from>
    <cdr:to>
      <cdr:x>0.31002</cdr:x>
      <cdr:y>0.10269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71500" y="95250"/>
          <a:ext cx="1285875" cy="3048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zh-CN" altLang="en-US" sz="1100"/>
            <a:t>元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0.896795555555556</cdr:x>
      <cdr:y>0.0342070731707317</cdr:y>
    </cdr:from>
    <cdr:to>
      <cdr:x>0.977875555555556</cdr:x>
      <cdr:y>0.102667073170732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6150224" y="133587"/>
          <a:ext cx="556047" cy="26735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45720" tIns="45720" rIns="45720" bIns="45720" rtlCol="0" anchor="t" anchorCtr="0">
          <a:normAutofit/>
        </a:bodyPr>
        <a:lstStyle/>
        <a:p>
          <a:r>
            <a:rPr lang="en-US" altLang="zh-CN" sz="1100"/>
            <a:t>%</a:t>
          </a:r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4856-4A44-4EFF-BEA2-F82FD7C4C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961</Words>
  <Characters>5480</Characters>
  <Lines>45</Lines>
  <Paragraphs>12</Paragraphs>
  <TotalTime>60</TotalTime>
  <ScaleCrop>false</ScaleCrop>
  <LinksUpToDate>false</LinksUpToDate>
  <CharactersWithSpaces>6429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2022-02-15T07:41:00Z</dcterms:created>
  <dc:creator>Microsoft</dc:creator>
  <cp:lastModifiedBy>时光清浅</cp:lastModifiedBy>
  <cp:lastPrinted>2024-04-12T01:18:00Z</cp:lastPrinted>
  <dcterms:modified xsi:type="dcterms:W3CDTF">2024-04-18T01:23:20Z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B86697AB1809405786546D021998D5F4</vt:lpwstr>
  </property>
</Properties>
</file>