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ocument.xml" ContentType="application/vnd.openxmlformats-officedocument.wordprocessingml.document.main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drawings/drawing6.xml" ContentType="application/vnd.openxmlformats-officedocument.drawingml.chartshapes+xml"/>
  <Override PartName="/word/drawings/drawing7.xml" ContentType="application/vnd.openxmlformats-officedocument.drawingml.chartshap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方正小标宋_GBK" w:eastAsia="方正小标宋_GBK" w:hAnsiTheme="minorEastAsia"/>
          <w:b w:val="0"/>
          <w:color w:val="auto"/>
          <w:sz w:val="36"/>
          <w:szCs w:val="36"/>
        </w:rPr>
      </w:pPr>
      <w:r>
        <w:rPr>
          <w:rStyle w:val="8"/>
          <w:rFonts w:hint="eastAsia" w:ascii="方正小标宋_GBK" w:eastAsia="方正小标宋_GBK" w:hAnsiTheme="minorEastAsia"/>
          <w:b w:val="0"/>
          <w:color w:val="auto"/>
          <w:sz w:val="36"/>
          <w:szCs w:val="36"/>
        </w:rPr>
        <w:t>晋城市城区202</w:t>
      </w:r>
      <w:r>
        <w:rPr>
          <w:rStyle w:val="8"/>
          <w:rFonts w:ascii="方正小标宋_GBK" w:eastAsia="方正小标宋_GBK" w:hAnsiTheme="minorEastAsia"/>
          <w:b w:val="0"/>
          <w:color w:val="auto"/>
          <w:sz w:val="36"/>
          <w:szCs w:val="36"/>
        </w:rPr>
        <w:t>3</w:t>
      </w:r>
      <w:r>
        <w:rPr>
          <w:rStyle w:val="8"/>
          <w:rFonts w:hint="eastAsia" w:ascii="方正小标宋_GBK" w:eastAsia="方正小标宋_GBK" w:hAnsiTheme="minorEastAsia"/>
          <w:b w:val="0"/>
          <w:color w:val="auto"/>
          <w:sz w:val="36"/>
          <w:szCs w:val="36"/>
        </w:rPr>
        <w:t>年国民经济和社会发展</w:t>
      </w:r>
    </w:p>
    <w:p>
      <w:pPr>
        <w:jc w:val="center"/>
        <w:rPr>
          <w:rStyle w:val="8"/>
          <w:rFonts w:ascii="方正小标宋_GBK" w:eastAsia="方正小标宋_GBK" w:hAnsiTheme="minorEastAsia"/>
          <w:b w:val="0"/>
          <w:color w:val="auto"/>
          <w:sz w:val="36"/>
          <w:szCs w:val="36"/>
        </w:rPr>
      </w:pPr>
      <w:r>
        <w:rPr>
          <w:rStyle w:val="8"/>
          <w:rFonts w:hint="eastAsia" w:ascii="方正小标宋_GBK" w:eastAsia="方正小标宋_GBK" w:hAnsiTheme="minorEastAsia"/>
          <w:b w:val="0"/>
          <w:color w:val="auto"/>
          <w:sz w:val="36"/>
          <w:szCs w:val="36"/>
        </w:rPr>
        <w:t>统计公报</w:t>
      </w:r>
    </w:p>
    <w:p>
      <w:pPr>
        <w:widowControl/>
        <w:wordWrap w:val="0"/>
        <w:spacing w:line="480" w:lineRule="auto"/>
        <w:jc w:val="center"/>
        <w:rPr>
          <w:rFonts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晋城市城区统计局</w:t>
      </w:r>
    </w:p>
    <w:p>
      <w:pPr>
        <w:widowControl/>
        <w:wordWrap w:val="0"/>
        <w:spacing w:after="100" w:afterAutospacing="1" w:line="480" w:lineRule="auto"/>
        <w:jc w:val="center"/>
        <w:rPr>
          <w:rFonts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202</w:t>
      </w:r>
      <w:r>
        <w:rPr>
          <w:rFonts w:ascii="宋体" w:hAnsi="宋体" w:eastAsia="宋体" w:cs="宋体"/>
          <w:color w:val="auto"/>
          <w:kern w:val="0"/>
          <w:sz w:val="24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</w:rPr>
        <w:t xml:space="preserve">年 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4</w:t>
      </w:r>
      <w:r>
        <w:rPr>
          <w:rFonts w:ascii="宋体" w:hAnsi="宋体" w:eastAsia="宋体" w:cs="宋体"/>
          <w:color w:val="auto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15</w:t>
      </w:r>
      <w:r>
        <w:rPr>
          <w:rFonts w:ascii="宋体" w:hAnsi="宋体" w:eastAsia="宋体" w:cs="宋体"/>
          <w:color w:val="auto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</w:rPr>
        <w:t>日</w:t>
      </w:r>
    </w:p>
    <w:p>
      <w:pPr>
        <w:widowControl/>
        <w:spacing w:before="100" w:beforeAutospacing="1" w:after="100" w:afterAutospacing="1" w:line="600" w:lineRule="exact"/>
        <w:rPr>
          <w:rFonts w:ascii="宋体" w:hAnsi="宋体" w:eastAsia="宋体" w:cs="宋体"/>
          <w:color w:val="auto"/>
          <w:kern w:val="0"/>
          <w:sz w:val="24"/>
        </w:rPr>
      </w:pPr>
      <w:r>
        <w:rPr>
          <w:rFonts w:ascii="宋体" w:hAnsi="宋体" w:eastAsia="宋体" w:cs="宋体"/>
          <w:color w:val="auto"/>
          <w:kern w:val="0"/>
          <w:sz w:val="24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 xml:space="preserve"> </w:t>
      </w:r>
      <w:r>
        <w:rPr>
          <w:rFonts w:ascii="宋体" w:hAnsi="宋体" w:eastAsia="宋体" w:cs="宋体"/>
          <w:color w:val="auto"/>
          <w:kern w:val="0"/>
          <w:sz w:val="24"/>
        </w:rPr>
        <w:t xml:space="preserve"> 2</w:t>
      </w:r>
      <w:r>
        <w:rPr>
          <w:rFonts w:hint="eastAsia" w:ascii="宋体" w:hAnsi="宋体" w:eastAsia="宋体" w:cs="宋体"/>
          <w:color w:val="auto"/>
          <w:kern w:val="0"/>
          <w:sz w:val="24"/>
        </w:rPr>
        <w:t>023年，是全面贯彻党的二十大精神的开局之年，是城区发展史上极其重要、极不平凡的一年。全区坚持以习近平新时代中国特色社会主义思想为指导，全面贯彻党的二十大和二十届二中全会精神，坚决落实习近平总书记对山西工作的重要讲话重要指示精神，认真执行中央、省、市和区委决策部署，坚持用好“六化工作方法”，锚定城市“双核”目标定位，团结一心、埋头苦干，统筹稳增长、调结构，促转型、惠民生，防风险、保安全等各项工作，民生保障有力有效，社会大局和谐稳定，推动高质量发展迈出更坚实步伐。</w:t>
      </w:r>
    </w:p>
    <w:p>
      <w:pPr>
        <w:widowControl/>
        <w:spacing w:before="100" w:beforeAutospacing="1" w:after="100" w:afterAutospacing="1" w:line="600" w:lineRule="exact"/>
        <w:jc w:val="center"/>
        <w:rPr>
          <w:rFonts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一、综    合</w:t>
      </w:r>
    </w:p>
    <w:p>
      <w:pPr>
        <w:widowControl/>
        <w:spacing w:line="600" w:lineRule="exact"/>
        <w:ind w:left="2" w:leftChars="1" w:firstLine="480" w:firstLineChars="200"/>
        <w:rPr>
          <w:rFonts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据202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</w:rPr>
        <w:t>年人口抽样调查，年末全区常住人口为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586025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人，比上年末增加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928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人，常住人口性别比为9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8.15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%（以女性人口=100）。全年出生人口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4227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人，出生率为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7.22</w:t>
      </w:r>
      <w:r>
        <w:rPr>
          <w:rFonts w:hint="eastAsia" w:ascii="宋体" w:hAnsi="宋体" w:eastAsia="宋体" w:cs="宋体"/>
          <w:color w:val="auto"/>
          <w:kern w:val="0"/>
          <w:sz w:val="24"/>
        </w:rPr>
        <w:t>‰；死亡人口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3642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人，死亡率为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6.22</w:t>
      </w:r>
      <w:r>
        <w:rPr>
          <w:rFonts w:hint="eastAsia" w:ascii="宋体" w:hAnsi="宋体" w:eastAsia="宋体" w:cs="宋体"/>
          <w:color w:val="auto"/>
          <w:kern w:val="0"/>
          <w:sz w:val="24"/>
        </w:rPr>
        <w:t>‰；自然增长率为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1.00</w:t>
      </w:r>
      <w:r>
        <w:rPr>
          <w:rFonts w:hint="eastAsia" w:ascii="宋体" w:hAnsi="宋体" w:eastAsia="宋体" w:cs="宋体"/>
          <w:color w:val="auto"/>
          <w:kern w:val="0"/>
          <w:sz w:val="24"/>
        </w:rPr>
        <w:t>‰。年末全区户籍总人口为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431519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人，比上年末增加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7078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人，其中男性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213746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人。</w:t>
      </w:r>
    </w:p>
    <w:p>
      <w:pPr>
        <w:widowControl/>
        <w:spacing w:line="600" w:lineRule="exact"/>
        <w:ind w:left="2" w:leftChars="1" w:firstLine="480" w:firstLineChars="200"/>
        <w:rPr>
          <w:rFonts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初步核算，全年全区实现生产总值</w:t>
      </w:r>
      <w:r>
        <w:rPr>
          <w:rFonts w:ascii="宋体" w:hAnsi="宋体" w:eastAsia="宋体" w:cs="宋体"/>
          <w:color w:val="auto"/>
          <w:kern w:val="0"/>
          <w:sz w:val="24"/>
        </w:rPr>
        <w:t>3290683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万元，比上年增长</w:t>
      </w:r>
      <w:r>
        <w:rPr>
          <w:rFonts w:ascii="宋体" w:hAnsi="宋体" w:eastAsia="宋体" w:cs="宋体"/>
          <w:color w:val="auto"/>
          <w:kern w:val="0"/>
          <w:sz w:val="24"/>
        </w:rPr>
        <w:t>6.1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%。其中，第一产业增加值</w:t>
      </w:r>
      <w:r>
        <w:rPr>
          <w:rFonts w:ascii="宋体" w:hAnsi="宋体" w:eastAsia="宋体" w:cs="宋体"/>
          <w:color w:val="auto"/>
          <w:kern w:val="0"/>
          <w:sz w:val="24"/>
        </w:rPr>
        <w:t>8398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万元，增长</w:t>
      </w:r>
      <w:r>
        <w:rPr>
          <w:rFonts w:ascii="宋体" w:hAnsi="宋体" w:eastAsia="宋体" w:cs="宋体"/>
          <w:color w:val="auto"/>
          <w:kern w:val="0"/>
          <w:sz w:val="24"/>
        </w:rPr>
        <w:t>4.1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%，占生产总值的比重为0.3%；第二产业增加值42</w:t>
      </w:r>
      <w:r>
        <w:rPr>
          <w:rFonts w:ascii="宋体" w:hAnsi="宋体" w:eastAsia="宋体" w:cs="宋体"/>
          <w:color w:val="auto"/>
          <w:kern w:val="0"/>
          <w:sz w:val="24"/>
        </w:rPr>
        <w:t>4850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万元，增长3.</w:t>
      </w:r>
      <w:r>
        <w:rPr>
          <w:rFonts w:ascii="宋体" w:hAnsi="宋体" w:eastAsia="宋体" w:cs="宋体"/>
          <w:color w:val="auto"/>
          <w:kern w:val="0"/>
          <w:sz w:val="24"/>
        </w:rPr>
        <w:t>8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%，占生产总值的比重为1</w:t>
      </w:r>
      <w:r>
        <w:rPr>
          <w:rFonts w:ascii="宋体" w:hAnsi="宋体" w:eastAsia="宋体" w:cs="宋体"/>
          <w:color w:val="auto"/>
          <w:kern w:val="0"/>
          <w:sz w:val="24"/>
        </w:rPr>
        <w:t>2.9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%；第三产业增加值</w:t>
      </w:r>
      <w:r>
        <w:rPr>
          <w:rFonts w:ascii="宋体" w:hAnsi="宋体" w:eastAsia="宋体" w:cs="宋体"/>
          <w:color w:val="auto"/>
          <w:kern w:val="0"/>
          <w:sz w:val="24"/>
        </w:rPr>
        <w:t>2857435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万元，增长</w:t>
      </w:r>
      <w:r>
        <w:rPr>
          <w:rFonts w:ascii="宋体" w:hAnsi="宋体" w:eastAsia="宋体" w:cs="宋体"/>
          <w:color w:val="auto"/>
          <w:kern w:val="0"/>
          <w:sz w:val="24"/>
        </w:rPr>
        <w:t>6.5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%，占生产总值的比重为</w:t>
      </w:r>
      <w:r>
        <w:rPr>
          <w:rFonts w:ascii="宋体" w:hAnsi="宋体" w:eastAsia="宋体" w:cs="宋体"/>
          <w:color w:val="auto"/>
          <w:kern w:val="0"/>
          <w:sz w:val="24"/>
        </w:rPr>
        <w:t>86.8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%。</w:t>
      </w:r>
    </w:p>
    <w:p>
      <w:pPr>
        <w:widowControl/>
        <w:spacing w:line="600" w:lineRule="exact"/>
        <w:ind w:left="2" w:leftChars="1" w:firstLine="480" w:firstLineChars="200"/>
        <w:rPr>
          <w:rFonts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全年全区生产总值（含开发区）</w:t>
      </w:r>
      <w:r>
        <w:rPr>
          <w:rFonts w:ascii="宋体" w:hAnsi="宋体" w:eastAsia="宋体" w:cs="宋体"/>
          <w:color w:val="auto"/>
          <w:kern w:val="0"/>
          <w:sz w:val="24"/>
        </w:rPr>
        <w:t>4310082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万元，比上年增长</w:t>
      </w:r>
      <w:r>
        <w:rPr>
          <w:rFonts w:ascii="宋体" w:hAnsi="宋体" w:eastAsia="宋体" w:cs="宋体"/>
          <w:color w:val="auto"/>
          <w:kern w:val="0"/>
          <w:sz w:val="24"/>
        </w:rPr>
        <w:t>3.5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%。其中，第一产业增加值8</w:t>
      </w:r>
      <w:r>
        <w:rPr>
          <w:rFonts w:ascii="宋体" w:hAnsi="宋体" w:eastAsia="宋体" w:cs="宋体"/>
          <w:color w:val="auto"/>
          <w:kern w:val="0"/>
          <w:sz w:val="24"/>
        </w:rPr>
        <w:t>398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万元，增长</w:t>
      </w:r>
      <w:r>
        <w:rPr>
          <w:rFonts w:ascii="宋体" w:hAnsi="宋体" w:eastAsia="宋体" w:cs="宋体"/>
          <w:color w:val="auto"/>
          <w:kern w:val="0"/>
          <w:sz w:val="24"/>
        </w:rPr>
        <w:t>4.1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%，占生产总值的比重为0.2%；第二产业增加值</w:t>
      </w:r>
      <w:r>
        <w:rPr>
          <w:rFonts w:ascii="宋体" w:hAnsi="宋体" w:eastAsia="宋体" w:cs="宋体"/>
          <w:color w:val="auto"/>
          <w:kern w:val="0"/>
          <w:sz w:val="24"/>
        </w:rPr>
        <w:t>1004982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万元，下降</w:t>
      </w:r>
      <w:r>
        <w:rPr>
          <w:rFonts w:ascii="宋体" w:hAnsi="宋体" w:eastAsia="宋体" w:cs="宋体"/>
          <w:color w:val="auto"/>
          <w:kern w:val="0"/>
          <w:sz w:val="24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</w:rPr>
        <w:t>.0%，占生产总值的比重为2</w:t>
      </w:r>
      <w:r>
        <w:rPr>
          <w:rFonts w:ascii="宋体" w:hAnsi="宋体" w:eastAsia="宋体" w:cs="宋体"/>
          <w:color w:val="auto"/>
          <w:kern w:val="0"/>
          <w:sz w:val="24"/>
        </w:rPr>
        <w:t>3.3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%；第三产业增加值</w:t>
      </w:r>
      <w:r>
        <w:rPr>
          <w:rFonts w:ascii="宋体" w:hAnsi="宋体" w:eastAsia="宋体" w:cs="宋体"/>
          <w:color w:val="auto"/>
          <w:kern w:val="0"/>
          <w:sz w:val="24"/>
        </w:rPr>
        <w:t>329670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万元，增长</w:t>
      </w:r>
      <w:r>
        <w:rPr>
          <w:rFonts w:ascii="宋体" w:hAnsi="宋体" w:eastAsia="宋体" w:cs="宋体"/>
          <w:color w:val="auto"/>
          <w:kern w:val="0"/>
          <w:sz w:val="24"/>
        </w:rPr>
        <w:t>4.9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%，占生产总值的比重为7</w:t>
      </w:r>
      <w:r>
        <w:rPr>
          <w:rFonts w:ascii="宋体" w:hAnsi="宋体" w:eastAsia="宋体" w:cs="宋体"/>
          <w:color w:val="auto"/>
          <w:kern w:val="0"/>
          <w:sz w:val="24"/>
        </w:rPr>
        <w:t>6.5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%。人均地区生产总值7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3606</w:t>
      </w:r>
      <w:r>
        <w:rPr>
          <w:rFonts w:hint="eastAsia" w:ascii="宋体" w:hAnsi="宋体" w:eastAsia="宋体" w:cs="宋体"/>
          <w:color w:val="auto"/>
          <w:kern w:val="0"/>
          <w:sz w:val="24"/>
        </w:rPr>
        <w:t>元，比上年增长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3.1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%。</w:t>
      </w:r>
    </w:p>
    <w:p>
      <w:pPr>
        <w:widowControl/>
        <w:tabs>
          <w:tab w:val="left" w:pos="7020"/>
        </w:tabs>
        <w:spacing w:line="600" w:lineRule="exact"/>
        <w:ind w:firstLine="1687" w:firstLineChars="700"/>
        <w:rPr>
          <w:rFonts w:ascii="宋体" w:hAnsi="宋体" w:eastAsia="宋体" w:cs="宋体"/>
          <w:b/>
          <w:color w:val="auto"/>
          <w:kern w:val="0"/>
          <w:sz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</w:rPr>
        <w:t>图1  201</w:t>
      </w:r>
      <w:r>
        <w:rPr>
          <w:rFonts w:ascii="宋体" w:hAnsi="宋体" w:cs="宋体"/>
          <w:b/>
          <w:color w:val="auto"/>
          <w:kern w:val="0"/>
          <w:sz w:val="24"/>
        </w:rPr>
        <w:t>8</w:t>
      </w:r>
      <w:r>
        <w:rPr>
          <w:rFonts w:hint="eastAsia" w:ascii="宋体" w:hAnsi="宋体" w:cs="宋体"/>
          <w:b/>
          <w:color w:val="auto"/>
          <w:kern w:val="0"/>
          <w:sz w:val="24"/>
        </w:rPr>
        <w:t>-202</w:t>
      </w:r>
      <w:r>
        <w:rPr>
          <w:rFonts w:ascii="宋体" w:hAnsi="宋体" w:cs="宋体"/>
          <w:b/>
          <w:color w:val="auto"/>
          <w:kern w:val="0"/>
          <w:sz w:val="24"/>
        </w:rPr>
        <w:t>3</w:t>
      </w:r>
      <w:r>
        <w:rPr>
          <w:rFonts w:hint="eastAsia" w:ascii="宋体" w:hAnsi="宋体" w:cs="宋体"/>
          <w:b/>
          <w:color w:val="auto"/>
          <w:kern w:val="0"/>
          <w:sz w:val="24"/>
        </w:rPr>
        <w:t>年全区生产总值及增长速度</w:t>
      </w:r>
    </w:p>
    <w:p>
      <w:pPr>
        <w:widowControl/>
        <w:wordWrap w:val="0"/>
        <w:spacing w:line="480" w:lineRule="auto"/>
        <w:jc w:val="left"/>
        <w:rPr>
          <w:rFonts w:ascii="宋体" w:hAnsi="宋体" w:eastAsia="宋体" w:cs="宋体"/>
          <w:color w:val="auto"/>
          <w:kern w:val="0"/>
          <w:sz w:val="24"/>
        </w:rPr>
      </w:pPr>
      <w:bookmarkStart w:id="3" w:name="_GoBack"/>
      <w:r>
        <w:rPr>
          <w:color w:val="auto"/>
        </w:rPr>
        <w:drawing>
          <wp:inline distT="0" distB="0" distL="0" distR="0">
            <wp:extent cx="5274310" cy="3028950"/>
            <wp:effectExtent l="0" t="0" r="2540" b="0"/>
            <wp:docPr id="301726418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3"/>
    </w:p>
    <w:p>
      <w:pPr>
        <w:widowControl/>
        <w:spacing w:line="600" w:lineRule="exact"/>
        <w:ind w:firstLine="480" w:firstLineChars="200"/>
        <w:rPr>
          <w:rFonts w:ascii="宋体" w:hAnsi="宋体" w:eastAsia="宋体" w:cs="宋体"/>
          <w:b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全年全区财政总收入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618483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万元，比上年增收</w:t>
      </w:r>
      <w:r>
        <w:rPr>
          <w:rFonts w:ascii="宋体" w:hAnsi="宋体" w:eastAsia="宋体" w:cs="宋体"/>
          <w:color w:val="auto"/>
          <w:kern w:val="0"/>
          <w:sz w:val="24"/>
        </w:rPr>
        <w:t>397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37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万元，增长</w:t>
      </w:r>
      <w:r>
        <w:rPr>
          <w:rFonts w:ascii="宋体" w:hAnsi="宋体" w:eastAsia="宋体" w:cs="宋体"/>
          <w:color w:val="auto"/>
          <w:kern w:val="0"/>
          <w:sz w:val="24"/>
        </w:rPr>
        <w:t>6.9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%。一般公共预算收入</w:t>
      </w:r>
      <w:r>
        <w:rPr>
          <w:rFonts w:ascii="宋体" w:hAnsi="宋体" w:eastAsia="宋体" w:cs="宋体"/>
          <w:color w:val="auto"/>
          <w:kern w:val="0"/>
          <w:sz w:val="24"/>
        </w:rPr>
        <w:t>169358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万元，比上年增收</w:t>
      </w:r>
      <w:r>
        <w:rPr>
          <w:rFonts w:ascii="宋体" w:hAnsi="宋体" w:eastAsia="宋体" w:cs="宋体"/>
          <w:color w:val="auto"/>
          <w:kern w:val="0"/>
          <w:sz w:val="24"/>
        </w:rPr>
        <w:t>11741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万元，增长</w:t>
      </w:r>
      <w:r>
        <w:rPr>
          <w:rFonts w:ascii="宋体" w:hAnsi="宋体" w:eastAsia="宋体" w:cs="宋体"/>
          <w:color w:val="auto"/>
          <w:kern w:val="0"/>
          <w:sz w:val="24"/>
        </w:rPr>
        <w:t>7.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%。其中，税收收入90</w:t>
      </w:r>
      <w:r>
        <w:rPr>
          <w:rFonts w:ascii="宋体" w:hAnsi="宋体" w:eastAsia="宋体" w:cs="宋体"/>
          <w:color w:val="auto"/>
          <w:kern w:val="0"/>
          <w:sz w:val="24"/>
        </w:rPr>
        <w:t>076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万元，减收</w:t>
      </w:r>
      <w:r>
        <w:rPr>
          <w:rFonts w:ascii="宋体" w:hAnsi="宋体" w:eastAsia="宋体" w:cs="宋体"/>
          <w:color w:val="auto"/>
          <w:kern w:val="0"/>
          <w:sz w:val="24"/>
        </w:rPr>
        <w:t>911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万元，下降</w:t>
      </w:r>
      <w:r>
        <w:rPr>
          <w:rFonts w:ascii="宋体" w:hAnsi="宋体" w:eastAsia="宋体" w:cs="宋体"/>
          <w:color w:val="auto"/>
          <w:kern w:val="0"/>
          <w:sz w:val="24"/>
        </w:rPr>
        <w:t>1.0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%；非税收入</w:t>
      </w:r>
      <w:r>
        <w:rPr>
          <w:rFonts w:ascii="宋体" w:hAnsi="宋体" w:eastAsia="宋体" w:cs="宋体"/>
          <w:color w:val="auto"/>
          <w:kern w:val="0"/>
          <w:sz w:val="24"/>
        </w:rPr>
        <w:t>79282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万元，增收</w:t>
      </w:r>
      <w:r>
        <w:rPr>
          <w:rFonts w:ascii="宋体" w:hAnsi="宋体" w:eastAsia="宋体" w:cs="宋体"/>
          <w:color w:val="auto"/>
          <w:kern w:val="0"/>
          <w:sz w:val="24"/>
        </w:rPr>
        <w:t>12652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万元，增长</w:t>
      </w:r>
      <w:r>
        <w:rPr>
          <w:rFonts w:ascii="宋体" w:hAnsi="宋体" w:eastAsia="宋体" w:cs="宋体"/>
          <w:color w:val="auto"/>
          <w:kern w:val="0"/>
          <w:sz w:val="24"/>
        </w:rPr>
        <w:t>19.0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%。全年增值税留抵退税退还</w:t>
      </w:r>
      <w:r>
        <w:rPr>
          <w:rFonts w:ascii="宋体" w:hAnsi="宋体" w:eastAsia="宋体" w:cs="宋体"/>
          <w:color w:val="auto"/>
          <w:kern w:val="0"/>
          <w:sz w:val="24"/>
        </w:rPr>
        <w:t>0.7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亿元，退税额减少5</w:t>
      </w:r>
      <w:r>
        <w:rPr>
          <w:rFonts w:ascii="宋体" w:hAnsi="宋体" w:eastAsia="宋体" w:cs="宋体"/>
          <w:color w:val="auto"/>
          <w:kern w:val="0"/>
          <w:sz w:val="24"/>
        </w:rPr>
        <w:t>.5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亿元。</w:t>
      </w:r>
    </w:p>
    <w:p>
      <w:pPr>
        <w:widowControl/>
        <w:tabs>
          <w:tab w:val="left" w:pos="7020"/>
        </w:tabs>
        <w:spacing w:line="480" w:lineRule="auto"/>
        <w:jc w:val="center"/>
        <w:rPr>
          <w:rFonts w:ascii="宋体" w:hAnsi="宋体" w:cs="宋体"/>
          <w:b/>
          <w:color w:val="auto"/>
          <w:kern w:val="0"/>
          <w:sz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</w:rPr>
        <w:t>图2  201</w:t>
      </w:r>
      <w:r>
        <w:rPr>
          <w:rFonts w:ascii="宋体" w:hAnsi="宋体" w:cs="宋体"/>
          <w:b/>
          <w:color w:val="auto"/>
          <w:kern w:val="0"/>
          <w:sz w:val="24"/>
        </w:rPr>
        <w:t>8</w:t>
      </w:r>
      <w:r>
        <w:rPr>
          <w:rFonts w:hint="eastAsia" w:ascii="宋体" w:hAnsi="宋体" w:cs="宋体"/>
          <w:b/>
          <w:color w:val="auto"/>
          <w:kern w:val="0"/>
          <w:sz w:val="24"/>
        </w:rPr>
        <w:t>-202</w:t>
      </w:r>
      <w:r>
        <w:rPr>
          <w:rFonts w:ascii="宋体" w:hAnsi="宋体" w:cs="宋体"/>
          <w:b/>
          <w:color w:val="auto"/>
          <w:kern w:val="0"/>
          <w:sz w:val="24"/>
        </w:rPr>
        <w:t>3</w:t>
      </w:r>
      <w:r>
        <w:rPr>
          <w:rFonts w:hint="eastAsia" w:ascii="宋体" w:hAnsi="宋体" w:cs="宋体"/>
          <w:b/>
          <w:color w:val="auto"/>
          <w:kern w:val="0"/>
          <w:sz w:val="24"/>
        </w:rPr>
        <w:t>年一般公共预算收入及增长速度</w:t>
      </w:r>
    </w:p>
    <w:p>
      <w:pPr>
        <w:widowControl/>
        <w:tabs>
          <w:tab w:val="left" w:pos="7020"/>
        </w:tabs>
        <w:spacing w:line="480" w:lineRule="auto"/>
        <w:rPr>
          <w:rFonts w:ascii="宋体" w:hAnsi="宋体" w:cs="宋体"/>
          <w:b/>
          <w:color w:val="auto"/>
          <w:kern w:val="0"/>
          <w:sz w:val="24"/>
        </w:rPr>
      </w:pPr>
      <w:r>
        <w:rPr>
          <w:color w:val="auto"/>
        </w:rPr>
        <w:drawing>
          <wp:inline distT="0" distB="0" distL="0" distR="0">
            <wp:extent cx="5274310" cy="2883535"/>
            <wp:effectExtent l="0" t="0" r="2540" b="12065"/>
            <wp:docPr id="1505341016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widowControl/>
        <w:spacing w:line="600" w:lineRule="exact"/>
        <w:ind w:left="2" w:leftChars="1" w:firstLine="480" w:firstLineChars="200"/>
        <w:rPr>
          <w:rFonts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一般公共预算支出</w:t>
      </w:r>
      <w:r>
        <w:rPr>
          <w:rFonts w:ascii="宋体" w:hAnsi="宋体" w:eastAsia="宋体" w:cs="宋体"/>
          <w:color w:val="auto"/>
          <w:kern w:val="0"/>
          <w:sz w:val="24"/>
        </w:rPr>
        <w:t>325074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万元，比上年减支</w:t>
      </w:r>
      <w:r>
        <w:rPr>
          <w:rFonts w:ascii="宋体" w:hAnsi="宋体" w:eastAsia="宋体" w:cs="宋体"/>
          <w:color w:val="auto"/>
          <w:kern w:val="0"/>
          <w:sz w:val="24"/>
        </w:rPr>
        <w:t>5355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万元，下降</w:t>
      </w:r>
      <w:r>
        <w:rPr>
          <w:rFonts w:ascii="宋体" w:hAnsi="宋体" w:eastAsia="宋体" w:cs="宋体"/>
          <w:color w:val="auto"/>
          <w:kern w:val="0"/>
          <w:sz w:val="24"/>
        </w:rPr>
        <w:t>1.6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%。其中，文化旅游体育与传媒支出增长</w:t>
      </w:r>
      <w:r>
        <w:rPr>
          <w:rFonts w:ascii="宋体" w:hAnsi="宋体" w:eastAsia="宋体" w:cs="宋体"/>
          <w:color w:val="auto"/>
          <w:kern w:val="0"/>
          <w:sz w:val="24"/>
        </w:rPr>
        <w:t>17.2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%，一般公共服务支出增长</w:t>
      </w:r>
      <w:r>
        <w:rPr>
          <w:rFonts w:ascii="宋体" w:hAnsi="宋体" w:eastAsia="宋体" w:cs="宋体"/>
          <w:color w:val="auto"/>
          <w:kern w:val="0"/>
          <w:sz w:val="24"/>
        </w:rPr>
        <w:t>48.3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%，教育支出增长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5.6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%，社会保障和就业支出增长</w:t>
      </w:r>
      <w:r>
        <w:rPr>
          <w:rFonts w:ascii="宋体" w:hAnsi="宋体" w:eastAsia="宋体" w:cs="宋体"/>
          <w:color w:val="auto"/>
          <w:kern w:val="0"/>
          <w:sz w:val="24"/>
        </w:rPr>
        <w:t>17.2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%，节能环保支出增长</w:t>
      </w:r>
      <w:r>
        <w:rPr>
          <w:rFonts w:ascii="宋体" w:hAnsi="宋体" w:eastAsia="宋体" w:cs="宋体"/>
          <w:color w:val="auto"/>
          <w:kern w:val="0"/>
          <w:sz w:val="24"/>
        </w:rPr>
        <w:t>13.4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%。</w:t>
      </w:r>
    </w:p>
    <w:p>
      <w:pPr>
        <w:widowControl/>
        <w:spacing w:line="600" w:lineRule="exact"/>
        <w:ind w:left="122" w:leftChars="58" w:firstLine="360" w:firstLineChars="150"/>
        <w:rPr>
          <w:rFonts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全年居民消费价格比上年上涨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0</w:t>
      </w:r>
      <w:r>
        <w:rPr>
          <w:rFonts w:ascii="宋体" w:hAnsi="宋体" w:eastAsia="宋体" w:cs="宋体"/>
          <w:color w:val="auto"/>
          <w:kern w:val="0"/>
          <w:sz w:val="24"/>
        </w:rPr>
        <w:t>.2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%，其中，食品烟酒类价格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下降0</w:t>
      </w:r>
      <w:r>
        <w:rPr>
          <w:rFonts w:hint="eastAsia" w:ascii="宋体" w:hAnsi="宋体" w:eastAsia="宋体" w:cs="宋体"/>
          <w:color w:val="auto"/>
          <w:kern w:val="0"/>
          <w:sz w:val="24"/>
        </w:rPr>
        <w:t>.4%。</w:t>
      </w:r>
    </w:p>
    <w:p>
      <w:pPr>
        <w:widowControl/>
        <w:wordWrap w:val="0"/>
        <w:spacing w:line="480" w:lineRule="auto"/>
        <w:ind w:left="2" w:hanging="2"/>
        <w:jc w:val="center"/>
        <w:rPr>
          <w:rFonts w:ascii="宋体" w:hAnsi="宋体" w:eastAsia="宋体" w:cs="宋体"/>
          <w:b/>
          <w:color w:val="auto"/>
          <w:kern w:val="0"/>
          <w:sz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</w:rPr>
        <w:t>表1  20</w:t>
      </w:r>
      <w:r>
        <w:rPr>
          <w:rFonts w:ascii="宋体" w:hAnsi="宋体" w:eastAsia="宋体" w:cs="宋体"/>
          <w:b/>
          <w:color w:val="auto"/>
          <w:kern w:val="0"/>
          <w:sz w:val="24"/>
        </w:rPr>
        <w:t>2</w:t>
      </w:r>
      <w:r>
        <w:rPr>
          <w:rFonts w:hint="eastAsia" w:ascii="宋体" w:hAnsi="宋体" w:eastAsia="宋体" w:cs="宋体"/>
          <w:b/>
          <w:color w:val="auto"/>
          <w:kern w:val="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auto"/>
          <w:kern w:val="0"/>
          <w:sz w:val="24"/>
        </w:rPr>
        <w:t>年居民消费价格比上年涨跌幅度</w:t>
      </w:r>
    </w:p>
    <w:p>
      <w:pPr>
        <w:widowControl/>
        <w:wordWrap w:val="0"/>
        <w:spacing w:line="480" w:lineRule="auto"/>
        <w:ind w:left="2" w:right="480" w:hanging="2"/>
        <w:jc w:val="right"/>
        <w:rPr>
          <w:rFonts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单位：%</w:t>
      </w:r>
    </w:p>
    <w:tbl>
      <w:tblPr>
        <w:tblStyle w:val="6"/>
        <w:tblW w:w="7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指    标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CCFFFF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涨跌幅度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居民消费价格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食品烟酒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衣着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居住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生活用品及服务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交通和通信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教育文化和娱乐</w:t>
            </w:r>
          </w:p>
          <w:p>
            <w:pPr>
              <w:widowControl/>
              <w:spacing w:line="48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医疗保健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                                        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其他用品和服务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0.2</w:t>
            </w:r>
          </w:p>
          <w:p>
            <w:pPr>
              <w:widowControl/>
              <w:spacing w:line="480" w:lineRule="auto"/>
              <w:jc w:val="right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-0.4</w:t>
            </w:r>
          </w:p>
          <w:p>
            <w:pPr>
              <w:widowControl/>
              <w:spacing w:line="480" w:lineRule="auto"/>
              <w:jc w:val="right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1.6</w:t>
            </w:r>
          </w:p>
          <w:p>
            <w:pPr>
              <w:widowControl/>
              <w:spacing w:line="480" w:lineRule="auto"/>
              <w:jc w:val="right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0.4</w:t>
            </w:r>
          </w:p>
          <w:p>
            <w:pPr>
              <w:widowControl/>
              <w:spacing w:line="480" w:lineRule="auto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-0.1</w:t>
            </w:r>
          </w:p>
          <w:p>
            <w:pPr>
              <w:widowControl/>
              <w:spacing w:line="480" w:lineRule="auto"/>
              <w:jc w:val="right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-3.5</w:t>
            </w:r>
          </w:p>
          <w:p>
            <w:pPr>
              <w:widowControl/>
              <w:spacing w:line="480" w:lineRule="auto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2.9</w:t>
            </w:r>
          </w:p>
          <w:p>
            <w:pPr>
              <w:widowControl/>
              <w:spacing w:line="480" w:lineRule="auto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1.6</w:t>
            </w:r>
          </w:p>
          <w:p>
            <w:pPr>
              <w:widowControl/>
              <w:spacing w:line="480" w:lineRule="auto"/>
              <w:jc w:val="right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2.0</w:t>
            </w:r>
          </w:p>
        </w:tc>
      </w:tr>
    </w:tbl>
    <w:p>
      <w:pPr>
        <w:widowControl/>
        <w:wordWrap w:val="0"/>
        <w:spacing w:before="100" w:beforeAutospacing="1" w:after="100" w:afterAutospacing="1" w:line="480" w:lineRule="auto"/>
        <w:jc w:val="center"/>
        <w:rPr>
          <w:rFonts w:ascii="宋体" w:hAnsi="宋体" w:eastAsia="宋体" w:cs="宋体"/>
          <w:b/>
          <w:color w:val="auto"/>
          <w:kern w:val="0"/>
          <w:sz w:val="28"/>
          <w:szCs w:val="28"/>
        </w:rPr>
      </w:pPr>
      <w:bookmarkStart w:id="0" w:name="_Hlk69912413"/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二、农    业</w:t>
      </w:r>
    </w:p>
    <w:bookmarkEnd w:id="0"/>
    <w:p>
      <w:pPr>
        <w:widowControl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全年全区农作物总种植面积25319.7亩，比上年增加273.8亩。其中，粮食种植面积23331.9亩，增加450.1亩；蔬菜种植面积1769.8亩，减少174.7亩；油料种植面积116亩，减少14亩。在粮食种植面积中，小麦种植面积13172.8亩，减少1710.1亩；豆类种植面积2957.1亩，增加1189.2亩；玉米种植面积6592.5亩，增加1115.2亩；其它谷物种植面积292.8亩，减少112.2亩。</w:t>
      </w:r>
    </w:p>
    <w:p>
      <w:pPr>
        <w:widowControl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全年粮食总产量7612吨，比上年增加160吨，增产2.1%。其中，夏粮4053.9吨，减产10.1%；秋粮3558.2吨，增产21.0%。</w:t>
      </w:r>
    </w:p>
    <w:p>
      <w:pPr>
        <w:widowControl/>
        <w:wordWrap w:val="0"/>
        <w:spacing w:line="480" w:lineRule="auto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</w:rPr>
        <w:t>表2  20</w:t>
      </w:r>
      <w:r>
        <w:rPr>
          <w:rFonts w:ascii="宋体" w:hAnsi="宋体" w:eastAsia="宋体" w:cs="宋体"/>
          <w:b/>
          <w:bCs/>
          <w:color w:val="auto"/>
          <w:kern w:val="0"/>
          <w:sz w:val="24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</w:rPr>
        <w:t>年主要农产品产量及增长速度</w:t>
      </w:r>
    </w:p>
    <w:tbl>
      <w:tblPr>
        <w:tblStyle w:val="6"/>
        <w:tblW w:w="6795" w:type="dxa"/>
        <w:jc w:val="center"/>
        <w:tblBorders>
          <w:top w:val="single" w:color="auto" w:sz="4" w:space="0"/>
          <w:left w:val="none" w:color="auto" w:sz="6" w:space="0"/>
          <w:bottom w:val="single" w:color="auto" w:sz="4" w:space="0"/>
          <w:right w:val="none" w:color="auto" w:sz="6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0"/>
        <w:gridCol w:w="2342"/>
        <w:gridCol w:w="2162"/>
      </w:tblGrid>
      <w:tr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2"/>
                <w:lang w:val="en-US" w:eastAsia="zh-CN" w:bidi="ar"/>
              </w:rPr>
              <w:t>产品名称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2"/>
                <w:lang w:val="en-US" w:eastAsia="zh-CN" w:bidi="ar"/>
              </w:rPr>
              <w:t>产量(吨)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CC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2"/>
                <w:lang w:val="en-US" w:eastAsia="zh-CN" w:bidi="ar"/>
              </w:rPr>
              <w:t>比上年增长(%)</w:t>
            </w:r>
          </w:p>
        </w:tc>
      </w:tr>
      <w:tr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CC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2"/>
                <w:lang w:val="en-US" w:eastAsia="zh-CN" w:bidi="ar"/>
              </w:rPr>
              <w:t>粮  食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right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7612.1 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right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2.1</w:t>
            </w:r>
          </w:p>
        </w:tc>
      </w:tr>
      <w:tr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CC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2"/>
                <w:lang w:val="en-US" w:eastAsia="zh-CN" w:bidi="ar"/>
              </w:rPr>
              <w:t xml:space="preserve">  其中:夏粮</w:t>
            </w: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right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4053.9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right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-10.1</w:t>
            </w:r>
          </w:p>
        </w:tc>
      </w:tr>
      <w:tr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CC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2"/>
                <w:lang w:val="en-US" w:eastAsia="zh-CN" w:bidi="ar"/>
              </w:rPr>
              <w:t xml:space="preserve">       秋粮</w:t>
            </w: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right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3558.2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right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21.0</w:t>
            </w:r>
          </w:p>
        </w:tc>
      </w:tr>
      <w:tr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CC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2"/>
                <w:lang w:val="en-US" w:eastAsia="zh-CN" w:bidi="ar"/>
              </w:rPr>
              <w:t>蔬菜及食用菌</w:t>
            </w: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right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4751.6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right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CC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2"/>
                <w:lang w:val="en-US" w:eastAsia="zh-CN" w:bidi="ar"/>
              </w:rPr>
              <w:t>瓜  果</w:t>
            </w: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right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46.1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right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15.3</w:t>
            </w:r>
          </w:p>
        </w:tc>
      </w:tr>
      <w:tr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2"/>
                <w:lang w:val="en-US" w:eastAsia="zh-CN" w:bidi="ar"/>
              </w:rPr>
              <w:t>油  料</w:t>
            </w: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right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8.6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right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-53.0</w:t>
            </w:r>
          </w:p>
        </w:tc>
      </w:tr>
    </w:tbl>
    <w:p>
      <w:pPr>
        <w:widowControl/>
        <w:spacing w:line="600" w:lineRule="exact"/>
        <w:ind w:firstLine="482"/>
        <w:rPr>
          <w:rFonts w:hint="eastAsia"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全年全区肉类总产量536.3吨，比上年增长17.4%。其中，猪肉产量119吨，下降15.1%；牛肉产量99吨，下降6.5%；羊肉产量107.1吨，增长4.3%。年末生猪存栏1415头，增长54.8%；生猪出栏1453头，下降15.1%。禽蛋产量3170.9吨，增长18.5%。</w:t>
      </w:r>
    </w:p>
    <w:p>
      <w:pPr>
        <w:widowControl/>
        <w:spacing w:line="600" w:lineRule="exact"/>
        <w:ind w:firstLine="482"/>
        <w:rPr>
          <w:rFonts w:hint="eastAsia"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年末全区农业机械总动力15593千瓦，比上年末增长2.0%。</w:t>
      </w:r>
    </w:p>
    <w:p>
      <w:pPr>
        <w:widowControl/>
        <w:spacing w:before="100" w:beforeAutospacing="1" w:after="100" w:afterAutospacing="1" w:line="500" w:lineRule="exact"/>
        <w:jc w:val="center"/>
        <w:rPr>
          <w:rFonts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三、工业和建筑业</w:t>
      </w:r>
    </w:p>
    <w:p>
      <w:pPr>
        <w:widowControl/>
        <w:spacing w:line="600" w:lineRule="exact"/>
        <w:ind w:firstLine="480" w:firstLineChars="200"/>
        <w:rPr>
          <w:rFonts w:ascii="宋体" w:hAnsi="宋体" w:eastAsia="宋体" w:cs="Times New Roman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  <w:t>全年全部工业增加值1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val="en-US" w:eastAsia="zh-CN"/>
        </w:rPr>
        <w:t>50138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  <w:t>万元，比上年增长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val="en-US" w:eastAsia="zh-CN"/>
        </w:rPr>
        <w:t>1.5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  <w:t>%。年末，全区规模以上工业企业51家，规模以上工业增加值比上年增长3.9%。在规模以上工业中，分门类看，采矿业增长26.2%，制造业下降11.4%，电力、热力、燃气及水的生产和供应业下降2.9%。</w:t>
      </w:r>
    </w:p>
    <w:p>
      <w:pPr>
        <w:widowControl/>
        <w:spacing w:line="600" w:lineRule="exact"/>
        <w:ind w:firstLine="480" w:firstLineChars="200"/>
        <w:rPr>
          <w:rFonts w:ascii="宋体" w:hAnsi="宋体" w:eastAsia="宋体" w:cs="Times New Roman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  <w:t>全年规模以上工业中，煤炭开采和洗选业比上年增长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val="en-US" w:eastAsia="zh-CN"/>
        </w:rPr>
        <w:t>26.5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  <w:t>%，非金属矿采选业下降2</w:t>
      </w:r>
      <w:r>
        <w:rPr>
          <w:rFonts w:ascii="宋体" w:hAnsi="宋体" w:eastAsia="宋体" w:cs="Times New Roman"/>
          <w:color w:val="auto"/>
          <w:kern w:val="0"/>
          <w:sz w:val="24"/>
          <w:szCs w:val="24"/>
        </w:rPr>
        <w:t>.0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  <w:t>%，纺织服装、服饰业下降7.9%，印刷和记录媒介复制业增长6.2%，橡胶和塑料制品业增长25.7%，非金属矿物制品业增长2.1%，黑色金属冶炼和压延加工业增长46.9%，金属制品业下降18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val="en-US" w:eastAsia="zh-CN"/>
        </w:rPr>
        <w:t>.0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  <w:t>%，汽车制造业下降4.4%，专用设备制造业下降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  <w:t>4.6%，通用设备制造业下降19.3%，仪器仪表制造业下降26</w:t>
      </w:r>
      <w:r>
        <w:rPr>
          <w:rFonts w:ascii="宋体" w:hAnsi="宋体" w:eastAsia="宋体" w:cs="Times New Roman"/>
          <w:color w:val="auto"/>
          <w:kern w:val="0"/>
          <w:sz w:val="24"/>
          <w:szCs w:val="24"/>
        </w:rPr>
        <w:t>.0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  <w:t>%，电力、热力生产和供应业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val="en-US" w:eastAsia="zh-CN"/>
        </w:rPr>
        <w:t>下降5.8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  <w:t>%，燃气生产和供应业下降4.9%，水的生产和供应业下降0.2%。</w:t>
      </w:r>
    </w:p>
    <w:p>
      <w:pPr>
        <w:widowControl/>
        <w:wordWrap w:val="0"/>
        <w:spacing w:line="500" w:lineRule="exact"/>
        <w:jc w:val="center"/>
        <w:rPr>
          <w:rFonts w:ascii="宋体" w:hAnsi="宋体" w:eastAsia="宋体" w:cs="宋体"/>
          <w:b/>
          <w:color w:val="auto"/>
          <w:kern w:val="0"/>
          <w:sz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</w:rPr>
        <w:t>图3  201</w:t>
      </w:r>
      <w:r>
        <w:rPr>
          <w:rFonts w:ascii="宋体" w:hAnsi="宋体" w:eastAsia="宋体" w:cs="宋体"/>
          <w:b/>
          <w:color w:val="auto"/>
          <w:kern w:val="0"/>
          <w:sz w:val="24"/>
        </w:rPr>
        <w:t>8</w:t>
      </w:r>
      <w:r>
        <w:rPr>
          <w:rFonts w:hint="eastAsia" w:ascii="宋体" w:hAnsi="宋体" w:eastAsia="宋体" w:cs="宋体"/>
          <w:b/>
          <w:color w:val="auto"/>
          <w:kern w:val="0"/>
          <w:sz w:val="24"/>
        </w:rPr>
        <w:t>-202</w:t>
      </w:r>
      <w:r>
        <w:rPr>
          <w:rFonts w:ascii="宋体" w:hAnsi="宋体" w:eastAsia="宋体" w:cs="宋体"/>
          <w:b/>
          <w:color w:val="auto"/>
          <w:kern w:val="0"/>
          <w:sz w:val="24"/>
        </w:rPr>
        <w:t>3</w:t>
      </w:r>
      <w:r>
        <w:rPr>
          <w:rFonts w:hint="eastAsia" w:ascii="宋体" w:hAnsi="宋体" w:eastAsia="宋体" w:cs="宋体"/>
          <w:b/>
          <w:color w:val="auto"/>
          <w:kern w:val="0"/>
          <w:sz w:val="24"/>
        </w:rPr>
        <w:t>年规模以上工业增加值增长速度</w:t>
      </w:r>
    </w:p>
    <w:p>
      <w:pPr>
        <w:widowControl/>
        <w:wordWrap w:val="0"/>
        <w:jc w:val="left"/>
        <w:rPr>
          <w:rFonts w:ascii="宋体" w:hAnsi="宋体" w:eastAsia="宋体" w:cs="宋体"/>
          <w:b/>
          <w:color w:val="auto"/>
          <w:kern w:val="0"/>
          <w:sz w:val="24"/>
        </w:rPr>
      </w:pPr>
    </w:p>
    <w:p>
      <w:pPr>
        <w:widowControl/>
        <w:wordWrap w:val="0"/>
        <w:spacing w:line="480" w:lineRule="auto"/>
        <w:jc w:val="center"/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5271770" cy="2871470"/>
            <wp:effectExtent l="5080" t="4445" r="19050" b="19685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widowControl/>
        <w:wordWrap w:val="0"/>
        <w:spacing w:line="480" w:lineRule="auto"/>
        <w:ind w:firstLine="480" w:firstLineChars="200"/>
        <w:jc w:val="both"/>
        <w:rPr>
          <w:rFonts w:hint="default" w:ascii="宋体" w:hAnsi="宋体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val="en-US" w:eastAsia="zh-CN"/>
        </w:rPr>
        <w:t xml:space="preserve">全年规模以上工业完成总产值556356万元，下降12.3%；完成销售产值568912万元，下降7.8%。 </w:t>
      </w:r>
    </w:p>
    <w:p>
      <w:pPr>
        <w:widowControl/>
        <w:wordWrap w:val="0"/>
        <w:spacing w:line="480" w:lineRule="auto"/>
        <w:jc w:val="center"/>
        <w:rPr>
          <w:rFonts w:ascii="宋体" w:hAnsi="宋体" w:eastAsia="宋体" w:cs="宋体"/>
          <w:b/>
          <w:color w:val="auto"/>
          <w:kern w:val="0"/>
          <w:sz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</w:rPr>
        <w:t>表3  202</w:t>
      </w:r>
      <w:r>
        <w:rPr>
          <w:rFonts w:ascii="宋体" w:hAnsi="宋体" w:eastAsia="宋体" w:cs="宋体"/>
          <w:b/>
          <w:color w:val="auto"/>
          <w:kern w:val="0"/>
          <w:sz w:val="24"/>
        </w:rPr>
        <w:t>3</w:t>
      </w:r>
      <w:r>
        <w:rPr>
          <w:rFonts w:hint="eastAsia" w:ascii="宋体" w:hAnsi="宋体" w:eastAsia="宋体" w:cs="宋体"/>
          <w:b/>
          <w:color w:val="auto"/>
          <w:kern w:val="0"/>
          <w:sz w:val="24"/>
        </w:rPr>
        <w:t>年规模以上工业主要产品产量及增长速度</w:t>
      </w:r>
    </w:p>
    <w:tbl>
      <w:tblPr>
        <w:tblStyle w:val="6"/>
        <w:tblW w:w="738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1361"/>
        <w:gridCol w:w="1842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4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产 品 名 称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产量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000000" w:fill="CC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比上年增长%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48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CCFFFF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原煤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吨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1820140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36.9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48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CCFFFF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水泥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吨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85313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39.4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48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CCFFFF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商品混凝土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立方米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729742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-2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48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CCFFFF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生铁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吨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91075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27.3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48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CCFFFF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铸铁件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吨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203118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48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CCFFFF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铸铁管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吨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412881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-9.1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CCFFFF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自来水生产量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万立方米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53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0.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</w:tr>
    </w:tbl>
    <w:p>
      <w:pPr>
        <w:widowControl/>
        <w:spacing w:line="600" w:lineRule="exact"/>
        <w:ind w:firstLine="480" w:firstLineChars="200"/>
        <w:rPr>
          <w:rFonts w:ascii="宋体" w:hAnsi="宋体" w:eastAsia="宋体" w:cs="Times New Roman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  <w:t>规模以上工业全年实现营业收入592273.4万元，比上年下降4.2%。分门类看，采矿业68329.9万元，下降11.9%；制造业418143.3万元，下降3.9%；电力、热力、燃气及水的生产和供应业105800万元，增长0.2%。实现利润总额-42591.8万元，去年同期实现-37918.8万元。</w:t>
      </w:r>
    </w:p>
    <w:p>
      <w:pPr>
        <w:widowControl/>
        <w:spacing w:line="600" w:lineRule="exact"/>
        <w:ind w:firstLine="480" w:firstLineChars="200"/>
        <w:rPr>
          <w:rFonts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全年规模以上工业企业综合能源消费量26.5万吨标准煤，增长18.8%，单位工业增加值能耗增长14.3%；规上工业企业工业用电量60933.2万千瓦时，增长0.4%。</w:t>
      </w:r>
    </w:p>
    <w:p>
      <w:pPr>
        <w:widowControl/>
        <w:spacing w:line="600" w:lineRule="exact"/>
        <w:ind w:firstLine="480" w:firstLineChars="200"/>
        <w:rPr>
          <w:rFonts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二轻集体企业全年实现利税总额25</w:t>
      </w:r>
      <w:r>
        <w:rPr>
          <w:rFonts w:ascii="宋体" w:hAnsi="宋体" w:eastAsia="宋体" w:cs="宋体"/>
          <w:color w:val="auto"/>
          <w:kern w:val="0"/>
          <w:sz w:val="24"/>
        </w:rPr>
        <w:t>95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万元，增长</w:t>
      </w:r>
      <w:r>
        <w:rPr>
          <w:rFonts w:ascii="宋体" w:hAnsi="宋体" w:eastAsia="宋体" w:cs="宋体"/>
          <w:color w:val="auto"/>
          <w:kern w:val="0"/>
          <w:sz w:val="24"/>
        </w:rPr>
        <w:t>1.1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%。</w:t>
      </w:r>
    </w:p>
    <w:p>
      <w:pPr>
        <w:widowControl/>
        <w:spacing w:line="600" w:lineRule="exact"/>
        <w:ind w:firstLine="480" w:firstLineChars="200"/>
        <w:rPr>
          <w:rFonts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全年建筑业增加值274712万元，比上年增长5.2%。</w:t>
      </w:r>
      <w:r>
        <w:rPr>
          <w:rFonts w:hint="eastAsia" w:ascii="宋体" w:hAnsi="宋体" w:eastAsia="宋体" w:cs="宋体"/>
          <w:color w:val="auto"/>
          <w:kern w:val="0"/>
          <w:sz w:val="24"/>
        </w:rPr>
        <w:t>年末全区具有资质等级的总承包和专业承包建筑业企业93家；签订合同额1314664万元，下降19%；完成总产值472746万元，增长4.2%。房屋建筑施工面积3739006平方米，下降2%；竣工产值3040636万元，下降1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.0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%。</w:t>
      </w:r>
    </w:p>
    <w:p>
      <w:pPr>
        <w:widowControl/>
        <w:spacing w:before="312" w:beforeLines="100" w:line="480" w:lineRule="auto"/>
        <w:jc w:val="center"/>
        <w:rPr>
          <w:rFonts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四、民营经济</w:t>
      </w:r>
    </w:p>
    <w:p>
      <w:pPr>
        <w:widowControl/>
        <w:spacing w:line="600" w:lineRule="exact"/>
        <w:ind w:firstLine="480" w:firstLineChars="200"/>
        <w:rPr>
          <w:rFonts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全年全区民营经济完成总产值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828591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万元，比上年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增长5.9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%；增加值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931734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万元，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增长5.1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%；营业收入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2589725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万元，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增长3.4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%；利税总额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203316万</w:t>
      </w:r>
      <w:r>
        <w:rPr>
          <w:rFonts w:hint="eastAsia" w:ascii="宋体" w:hAnsi="宋体" w:eastAsia="宋体" w:cs="宋体"/>
          <w:color w:val="auto"/>
          <w:kern w:val="0"/>
          <w:sz w:val="24"/>
        </w:rPr>
        <w:t>元，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增长10.1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%。</w:t>
      </w:r>
    </w:p>
    <w:p>
      <w:pPr>
        <w:widowControl/>
        <w:spacing w:line="600" w:lineRule="exact"/>
        <w:ind w:firstLine="480" w:firstLineChars="200"/>
        <w:rPr>
          <w:rFonts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其中：民营企业完成总产值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793541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万元，比上年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增长6.9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%；增加值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772224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万元，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增长5.9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%；营业收入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2123186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万元，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增长2.1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%；利税总额14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9665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万元，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增长2.4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%。</w:t>
      </w:r>
    </w:p>
    <w:p>
      <w:pPr>
        <w:widowControl/>
        <w:wordWrap w:val="0"/>
        <w:spacing w:before="100" w:beforeAutospacing="1" w:after="100" w:afterAutospacing="1" w:line="480" w:lineRule="auto"/>
        <w:jc w:val="center"/>
        <w:rPr>
          <w:rFonts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五、国内贸易</w:t>
      </w:r>
    </w:p>
    <w:p>
      <w:pPr>
        <w:widowControl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全年全区社会消费品零售总额</w:t>
      </w:r>
      <w:r>
        <w:rPr>
          <w:rFonts w:ascii="宋体" w:hAnsi="宋体" w:eastAsia="宋体" w:cs="宋体"/>
          <w:color w:val="auto"/>
          <w:kern w:val="0"/>
          <w:sz w:val="24"/>
        </w:rPr>
        <w:t>3090971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万元，比上年增长</w:t>
      </w:r>
      <w:r>
        <w:rPr>
          <w:rFonts w:ascii="宋体" w:hAnsi="宋体" w:eastAsia="宋体" w:cs="宋体"/>
          <w:color w:val="auto"/>
          <w:kern w:val="0"/>
          <w:sz w:val="24"/>
        </w:rPr>
        <w:t>8.4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%。其中限额以上贸易企业（含个体户）</w:t>
      </w:r>
      <w:r>
        <w:rPr>
          <w:rFonts w:ascii="宋体" w:hAnsi="宋体" w:eastAsia="宋体" w:cs="宋体"/>
          <w:color w:val="auto"/>
          <w:kern w:val="0"/>
          <w:sz w:val="24"/>
        </w:rPr>
        <w:t>349</w:t>
      </w:r>
      <w:r>
        <w:rPr>
          <w:rFonts w:hint="eastAsia" w:ascii="宋体" w:hAnsi="宋体" w:eastAsia="宋体" w:cs="宋体"/>
          <w:color w:val="auto"/>
          <w:kern w:val="0"/>
          <w:sz w:val="24"/>
        </w:rPr>
        <w:t>家，实现社会消费品零售总额</w:t>
      </w:r>
      <w:r>
        <w:rPr>
          <w:rFonts w:ascii="宋体" w:hAnsi="宋体" w:eastAsia="宋体" w:cs="宋体"/>
          <w:color w:val="auto"/>
          <w:kern w:val="0"/>
          <w:sz w:val="24"/>
        </w:rPr>
        <w:t>1040468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万元，比上年增长</w:t>
      </w:r>
      <w:r>
        <w:rPr>
          <w:rFonts w:ascii="宋体" w:hAnsi="宋体" w:eastAsia="宋体" w:cs="宋体"/>
          <w:color w:val="auto"/>
          <w:kern w:val="0"/>
          <w:sz w:val="24"/>
        </w:rPr>
        <w:t>11.0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%。限上零售额按消费类型分，商品零售</w:t>
      </w:r>
      <w:r>
        <w:rPr>
          <w:rFonts w:ascii="宋体" w:hAnsi="宋体" w:eastAsia="宋体" w:cs="宋体"/>
          <w:color w:val="auto"/>
          <w:kern w:val="0"/>
          <w:sz w:val="24"/>
        </w:rPr>
        <w:t>965471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万元，增长</w:t>
      </w:r>
      <w:r>
        <w:rPr>
          <w:rFonts w:ascii="宋体" w:hAnsi="宋体" w:eastAsia="宋体" w:cs="宋体"/>
          <w:color w:val="auto"/>
          <w:kern w:val="0"/>
          <w:sz w:val="24"/>
        </w:rPr>
        <w:t>10.3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</w:t>
      </w: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kern w:val="0"/>
          <w:sz w:val="24"/>
        </w:rPr>
        <w:t>餐饮收入</w:t>
      </w:r>
      <w:r>
        <w:rPr>
          <w:rFonts w:ascii="宋体" w:hAnsi="宋体" w:eastAsia="宋体" w:cs="宋体"/>
          <w:color w:val="auto"/>
          <w:kern w:val="0"/>
          <w:sz w:val="24"/>
        </w:rPr>
        <w:t>74997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万元，增长2</w:t>
      </w:r>
      <w:r>
        <w:rPr>
          <w:rFonts w:ascii="宋体" w:hAnsi="宋体" w:eastAsia="宋体" w:cs="宋体"/>
          <w:color w:val="auto"/>
          <w:kern w:val="0"/>
          <w:sz w:val="24"/>
        </w:rPr>
        <w:t>0.3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</w:t>
      </w: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。</w:t>
      </w:r>
    </w:p>
    <w:p>
      <w:pPr>
        <w:widowControl/>
        <w:tabs>
          <w:tab w:val="left" w:pos="7020"/>
        </w:tabs>
        <w:spacing w:line="480" w:lineRule="auto"/>
        <w:jc w:val="center"/>
        <w:rPr>
          <w:rFonts w:ascii="宋体" w:hAnsi="宋体" w:cs="宋体"/>
          <w:b/>
          <w:color w:val="auto"/>
          <w:kern w:val="0"/>
          <w:sz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</w:rPr>
        <w:t>图4  201</w:t>
      </w:r>
      <w:r>
        <w:rPr>
          <w:rFonts w:ascii="宋体" w:hAnsi="宋体" w:cs="宋体"/>
          <w:b/>
          <w:color w:val="auto"/>
          <w:kern w:val="0"/>
          <w:sz w:val="24"/>
        </w:rPr>
        <w:t>8</w:t>
      </w:r>
      <w:r>
        <w:rPr>
          <w:rFonts w:hint="eastAsia" w:ascii="宋体" w:hAnsi="宋体" w:cs="宋体"/>
          <w:b/>
          <w:color w:val="auto"/>
          <w:kern w:val="0"/>
          <w:sz w:val="24"/>
        </w:rPr>
        <w:t>-202</w:t>
      </w:r>
      <w:r>
        <w:rPr>
          <w:rFonts w:ascii="宋体" w:hAnsi="宋体" w:cs="宋体"/>
          <w:b/>
          <w:color w:val="auto"/>
          <w:kern w:val="0"/>
          <w:sz w:val="24"/>
        </w:rPr>
        <w:t>3</w:t>
      </w:r>
      <w:r>
        <w:rPr>
          <w:rFonts w:hint="eastAsia" w:ascii="宋体" w:hAnsi="宋体" w:cs="宋体"/>
          <w:b/>
          <w:color w:val="auto"/>
          <w:kern w:val="0"/>
          <w:sz w:val="24"/>
        </w:rPr>
        <w:t>年社会消费品零售总额及增长速度</w:t>
      </w:r>
    </w:p>
    <w:p>
      <w:pPr>
        <w:widowControl/>
        <w:tabs>
          <w:tab w:val="left" w:pos="7020"/>
        </w:tabs>
        <w:spacing w:line="480" w:lineRule="auto"/>
        <w:rPr>
          <w:rFonts w:ascii="宋体" w:hAnsi="宋体" w:eastAsia="宋体" w:cs="宋体"/>
          <w:b/>
          <w:color w:val="auto"/>
          <w:kern w:val="0"/>
          <w:sz w:val="24"/>
        </w:rPr>
      </w:pPr>
      <w:r>
        <w:rPr>
          <w:color w:val="auto"/>
        </w:rPr>
        <w:drawing>
          <wp:inline distT="0" distB="0" distL="0" distR="0">
            <wp:extent cx="5274310" cy="3437890"/>
            <wp:effectExtent l="0" t="0" r="2540" b="10160"/>
            <wp:docPr id="435544315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widowControl/>
        <w:wordWrap w:val="0"/>
        <w:spacing w:line="480" w:lineRule="auto"/>
        <w:jc w:val="center"/>
        <w:rPr>
          <w:rFonts w:ascii="宋体" w:hAnsi="宋体" w:eastAsia="宋体" w:cs="宋体"/>
          <w:b/>
          <w:color w:val="auto"/>
          <w:kern w:val="0"/>
          <w:sz w:val="24"/>
        </w:rPr>
      </w:pPr>
    </w:p>
    <w:p>
      <w:pPr>
        <w:widowControl/>
        <w:wordWrap w:val="0"/>
        <w:spacing w:line="480" w:lineRule="auto"/>
        <w:jc w:val="center"/>
        <w:rPr>
          <w:rFonts w:ascii="宋体" w:hAnsi="宋体" w:eastAsia="宋体" w:cs="宋体"/>
          <w:b/>
          <w:color w:val="auto"/>
          <w:kern w:val="0"/>
          <w:sz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</w:rPr>
        <w:t>表4  202</w:t>
      </w:r>
      <w:r>
        <w:rPr>
          <w:rFonts w:ascii="宋体" w:hAnsi="宋体" w:eastAsia="宋体" w:cs="宋体"/>
          <w:b/>
          <w:color w:val="auto"/>
          <w:kern w:val="0"/>
          <w:sz w:val="24"/>
        </w:rPr>
        <w:t>3</w:t>
      </w:r>
      <w:r>
        <w:rPr>
          <w:rFonts w:hint="eastAsia" w:ascii="宋体" w:hAnsi="宋体" w:eastAsia="宋体" w:cs="宋体"/>
          <w:b/>
          <w:color w:val="auto"/>
          <w:kern w:val="0"/>
          <w:sz w:val="24"/>
        </w:rPr>
        <w:t>年城区社会消费品零售总额及增长速度</w:t>
      </w:r>
    </w:p>
    <w:tbl>
      <w:tblPr>
        <w:tblStyle w:val="6"/>
        <w:tblW w:w="6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1913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指    标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绝对数（万元）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CCFFFF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比上年增长%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2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社会消费品零售总额</w:t>
            </w:r>
          </w:p>
          <w:p>
            <w:pPr>
              <w:widowControl/>
              <w:spacing w:line="480" w:lineRule="auto"/>
              <w:ind w:firstLine="360" w:firstLineChars="15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#限额以上</w:t>
            </w:r>
          </w:p>
          <w:p>
            <w:pPr>
              <w:widowControl/>
              <w:spacing w:line="480" w:lineRule="auto"/>
              <w:ind w:firstLine="720" w:firstLineChars="30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按消费形态分</w:t>
            </w:r>
          </w:p>
          <w:p>
            <w:pPr>
              <w:widowControl/>
              <w:spacing w:line="480" w:lineRule="auto"/>
              <w:ind w:firstLine="720" w:firstLineChars="30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1、餐饮收入</w:t>
            </w:r>
          </w:p>
          <w:p>
            <w:pPr>
              <w:widowControl/>
              <w:spacing w:line="480" w:lineRule="auto"/>
              <w:ind w:firstLine="720" w:firstLineChars="30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、商品零售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>3090971</w:t>
            </w:r>
          </w:p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>1040468</w:t>
            </w:r>
          </w:p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>74997</w:t>
            </w:r>
          </w:p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>965471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>8.4</w:t>
            </w:r>
          </w:p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>11.0</w:t>
            </w:r>
          </w:p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>20.3</w:t>
            </w:r>
          </w:p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>10.3</w:t>
            </w:r>
          </w:p>
        </w:tc>
      </w:tr>
    </w:tbl>
    <w:p>
      <w:pPr>
        <w:widowControl/>
        <w:wordWrap w:val="0"/>
        <w:spacing w:before="156" w:beforeLines="50" w:line="480" w:lineRule="auto"/>
        <w:jc w:val="center"/>
        <w:rPr>
          <w:rFonts w:ascii="宋体" w:hAnsi="宋体" w:eastAsia="宋体" w:cs="宋体"/>
          <w:b/>
          <w:color w:val="auto"/>
          <w:kern w:val="0"/>
          <w:sz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</w:rPr>
        <w:t>表5  202</w:t>
      </w:r>
      <w:r>
        <w:rPr>
          <w:rFonts w:ascii="宋体" w:hAnsi="宋体" w:eastAsia="宋体" w:cs="宋体"/>
          <w:b/>
          <w:color w:val="auto"/>
          <w:kern w:val="0"/>
          <w:sz w:val="24"/>
        </w:rPr>
        <w:t>3</w:t>
      </w:r>
      <w:r>
        <w:rPr>
          <w:rFonts w:hint="eastAsia" w:ascii="宋体" w:hAnsi="宋体" w:eastAsia="宋体" w:cs="宋体"/>
          <w:b/>
          <w:color w:val="auto"/>
          <w:kern w:val="0"/>
          <w:sz w:val="24"/>
        </w:rPr>
        <w:t>年限额以上批发零售业零售额及增长速度</w:t>
      </w:r>
    </w:p>
    <w:tbl>
      <w:tblPr>
        <w:tblStyle w:val="6"/>
        <w:tblW w:w="6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8"/>
        <w:gridCol w:w="1685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指    标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绝对数（万元）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CCFFFF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比上年增长%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CCFFFF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</w:tcPr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 xml:space="preserve">893018 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</w:tcPr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>16.0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CCFFFF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#通过公共网络实现的商品零售</w:t>
            </w:r>
          </w:p>
        </w:tc>
        <w:tc>
          <w:tcPr>
            <w:tcW w:w="16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</w:tcPr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 xml:space="preserve">17706 </w:t>
            </w:r>
          </w:p>
        </w:tc>
        <w:tc>
          <w:tcPr>
            <w:tcW w:w="162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</w:tcPr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>42.7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粮油、食品类</w:t>
            </w:r>
          </w:p>
        </w:tc>
        <w:tc>
          <w:tcPr>
            <w:tcW w:w="16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 xml:space="preserve">104816 </w:t>
            </w:r>
          </w:p>
        </w:tc>
        <w:tc>
          <w:tcPr>
            <w:tcW w:w="162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饮料类</w:t>
            </w:r>
          </w:p>
        </w:tc>
        <w:tc>
          <w:tcPr>
            <w:tcW w:w="16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 xml:space="preserve">8620 </w:t>
            </w:r>
          </w:p>
        </w:tc>
        <w:tc>
          <w:tcPr>
            <w:tcW w:w="162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>-4.9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烟酒类</w:t>
            </w:r>
          </w:p>
        </w:tc>
        <w:tc>
          <w:tcPr>
            <w:tcW w:w="16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 xml:space="preserve">76595 </w:t>
            </w:r>
          </w:p>
        </w:tc>
        <w:tc>
          <w:tcPr>
            <w:tcW w:w="162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>47.9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服装、鞋帽、针纺织品类</w:t>
            </w:r>
          </w:p>
        </w:tc>
        <w:tc>
          <w:tcPr>
            <w:tcW w:w="16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 xml:space="preserve">13117 </w:t>
            </w:r>
          </w:p>
        </w:tc>
        <w:tc>
          <w:tcPr>
            <w:tcW w:w="162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>-40.8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化妆品类</w:t>
            </w:r>
          </w:p>
        </w:tc>
        <w:tc>
          <w:tcPr>
            <w:tcW w:w="16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 xml:space="preserve">5258 </w:t>
            </w:r>
          </w:p>
        </w:tc>
        <w:tc>
          <w:tcPr>
            <w:tcW w:w="162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>31.3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金银珠宝类</w:t>
            </w:r>
          </w:p>
        </w:tc>
        <w:tc>
          <w:tcPr>
            <w:tcW w:w="16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 xml:space="preserve">5622 </w:t>
            </w:r>
          </w:p>
        </w:tc>
        <w:tc>
          <w:tcPr>
            <w:tcW w:w="162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>75.7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日用品类</w:t>
            </w:r>
          </w:p>
        </w:tc>
        <w:tc>
          <w:tcPr>
            <w:tcW w:w="16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 xml:space="preserve">22829 </w:t>
            </w:r>
          </w:p>
        </w:tc>
        <w:tc>
          <w:tcPr>
            <w:tcW w:w="162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>53.9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五金、电料类</w:t>
            </w:r>
          </w:p>
        </w:tc>
        <w:tc>
          <w:tcPr>
            <w:tcW w:w="16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 xml:space="preserve">1546 </w:t>
            </w:r>
          </w:p>
        </w:tc>
        <w:tc>
          <w:tcPr>
            <w:tcW w:w="162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>-26.0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体育、娱乐用品类</w:t>
            </w:r>
          </w:p>
        </w:tc>
        <w:tc>
          <w:tcPr>
            <w:tcW w:w="16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>-16.7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书报杂志类</w:t>
            </w:r>
          </w:p>
        </w:tc>
        <w:tc>
          <w:tcPr>
            <w:tcW w:w="16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 xml:space="preserve">8453 </w:t>
            </w:r>
          </w:p>
        </w:tc>
        <w:tc>
          <w:tcPr>
            <w:tcW w:w="162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>-5.9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电子出版物及音像制品类</w:t>
            </w:r>
          </w:p>
        </w:tc>
        <w:tc>
          <w:tcPr>
            <w:tcW w:w="16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 xml:space="preserve">1148 </w:t>
            </w:r>
          </w:p>
        </w:tc>
        <w:tc>
          <w:tcPr>
            <w:tcW w:w="162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>-18.7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家用电器和音像器材类</w:t>
            </w:r>
          </w:p>
        </w:tc>
        <w:tc>
          <w:tcPr>
            <w:tcW w:w="16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 xml:space="preserve">54758 </w:t>
            </w:r>
          </w:p>
        </w:tc>
        <w:tc>
          <w:tcPr>
            <w:tcW w:w="162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>35.3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中西药品类</w:t>
            </w:r>
          </w:p>
        </w:tc>
        <w:tc>
          <w:tcPr>
            <w:tcW w:w="16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 xml:space="preserve">14722 </w:t>
            </w:r>
          </w:p>
        </w:tc>
        <w:tc>
          <w:tcPr>
            <w:tcW w:w="162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>20.6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文化办公用品类</w:t>
            </w:r>
          </w:p>
        </w:tc>
        <w:tc>
          <w:tcPr>
            <w:tcW w:w="16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 xml:space="preserve">6231 </w:t>
            </w:r>
          </w:p>
        </w:tc>
        <w:tc>
          <w:tcPr>
            <w:tcW w:w="162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>56.2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家具类</w:t>
            </w:r>
          </w:p>
        </w:tc>
        <w:tc>
          <w:tcPr>
            <w:tcW w:w="16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 xml:space="preserve">7930 </w:t>
            </w:r>
          </w:p>
        </w:tc>
        <w:tc>
          <w:tcPr>
            <w:tcW w:w="162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>117.8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通讯器材类</w:t>
            </w:r>
          </w:p>
        </w:tc>
        <w:tc>
          <w:tcPr>
            <w:tcW w:w="16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 xml:space="preserve">62841 </w:t>
            </w:r>
          </w:p>
        </w:tc>
        <w:tc>
          <w:tcPr>
            <w:tcW w:w="162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>61.0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石油及制品类</w:t>
            </w:r>
          </w:p>
        </w:tc>
        <w:tc>
          <w:tcPr>
            <w:tcW w:w="16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 xml:space="preserve">215989 </w:t>
            </w:r>
          </w:p>
        </w:tc>
        <w:tc>
          <w:tcPr>
            <w:tcW w:w="162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>33.6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建筑及装潢材料类</w:t>
            </w:r>
          </w:p>
        </w:tc>
        <w:tc>
          <w:tcPr>
            <w:tcW w:w="16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 xml:space="preserve">294 </w:t>
            </w:r>
          </w:p>
        </w:tc>
        <w:tc>
          <w:tcPr>
            <w:tcW w:w="162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>137.2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机电产品及设备类</w:t>
            </w:r>
          </w:p>
        </w:tc>
        <w:tc>
          <w:tcPr>
            <w:tcW w:w="16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 xml:space="preserve">146 </w:t>
            </w:r>
          </w:p>
        </w:tc>
        <w:tc>
          <w:tcPr>
            <w:tcW w:w="162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>-81.6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汽车类</w:t>
            </w:r>
          </w:p>
        </w:tc>
        <w:tc>
          <w:tcPr>
            <w:tcW w:w="16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 xml:space="preserve">275951 </w:t>
            </w:r>
          </w:p>
        </w:tc>
        <w:tc>
          <w:tcPr>
            <w:tcW w:w="162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spacing w:line="480" w:lineRule="auto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t>-3.7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其他类</w:t>
            </w:r>
          </w:p>
        </w:tc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auto"/>
              <w:jc w:val="right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6150</w:t>
            </w:r>
          </w:p>
        </w:tc>
        <w:tc>
          <w:tcPr>
            <w:tcW w:w="16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spacing w:line="480" w:lineRule="auto"/>
              <w:jc w:val="right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9.1</w:t>
            </w:r>
          </w:p>
        </w:tc>
      </w:tr>
    </w:tbl>
    <w:p>
      <w:pPr>
        <w:widowControl/>
        <w:wordWrap w:val="0"/>
        <w:spacing w:before="100" w:beforeAutospacing="1" w:after="100" w:afterAutospacing="1" w:line="480" w:lineRule="auto"/>
        <w:jc w:val="center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</w:p>
    <w:p>
      <w:pPr>
        <w:widowControl/>
        <w:wordWrap w:val="0"/>
        <w:spacing w:before="100" w:beforeAutospacing="1" w:after="100" w:afterAutospacing="1" w:line="480" w:lineRule="auto"/>
        <w:jc w:val="center"/>
        <w:rPr>
          <w:rFonts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六、服务业</w:t>
      </w:r>
    </w:p>
    <w:p>
      <w:pPr>
        <w:widowControl/>
        <w:spacing w:line="480" w:lineRule="auto"/>
        <w:ind w:firstLine="480" w:firstLineChars="200"/>
        <w:rPr>
          <w:rFonts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全年服务业增加值</w:t>
      </w: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含开发区</w:t>
      </w: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）</w:t>
      </w:r>
      <w:r>
        <w:rPr>
          <w:rFonts w:ascii="宋体" w:hAnsi="宋体" w:eastAsia="宋体" w:cs="宋体"/>
          <w:color w:val="auto"/>
          <w:kern w:val="0"/>
          <w:sz w:val="24"/>
        </w:rPr>
        <w:t>3296701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万元，比上年增长</w:t>
      </w:r>
      <w:r>
        <w:rPr>
          <w:rFonts w:ascii="宋体" w:hAnsi="宋体" w:eastAsia="宋体" w:cs="宋体"/>
          <w:color w:val="auto"/>
          <w:kern w:val="0"/>
          <w:sz w:val="24"/>
        </w:rPr>
        <w:t>4.9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%。批发和零售业增加值</w:t>
      </w:r>
      <w:r>
        <w:rPr>
          <w:rFonts w:ascii="宋体" w:hAnsi="宋体" w:eastAsia="宋体" w:cs="宋体"/>
          <w:color w:val="auto"/>
          <w:kern w:val="0"/>
          <w:sz w:val="24"/>
        </w:rPr>
        <w:t>523693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万元，比上年下降0</w:t>
      </w:r>
      <w:r>
        <w:rPr>
          <w:rFonts w:ascii="宋体" w:hAnsi="宋体" w:eastAsia="宋体" w:cs="宋体"/>
          <w:color w:val="auto"/>
          <w:kern w:val="0"/>
          <w:sz w:val="24"/>
        </w:rPr>
        <w:t>.7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%；交通运输、仓储和邮政业增加值3</w:t>
      </w:r>
      <w:r>
        <w:rPr>
          <w:rFonts w:ascii="宋体" w:hAnsi="宋体" w:eastAsia="宋体" w:cs="宋体"/>
          <w:color w:val="auto"/>
          <w:kern w:val="0"/>
          <w:sz w:val="24"/>
        </w:rPr>
        <w:t>88068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万元，增长</w:t>
      </w:r>
      <w:r>
        <w:rPr>
          <w:rFonts w:ascii="宋体" w:hAnsi="宋体" w:eastAsia="宋体" w:cs="宋体"/>
          <w:color w:val="auto"/>
          <w:kern w:val="0"/>
          <w:sz w:val="24"/>
        </w:rPr>
        <w:t>2.5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%；住宿和餐饮业增加值</w:t>
      </w:r>
      <w:r>
        <w:rPr>
          <w:rFonts w:ascii="宋体" w:hAnsi="宋体" w:eastAsia="宋体" w:cs="宋体"/>
          <w:color w:val="auto"/>
          <w:kern w:val="0"/>
          <w:sz w:val="24"/>
        </w:rPr>
        <w:t>76854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万元，增长</w:t>
      </w:r>
      <w:r>
        <w:rPr>
          <w:rFonts w:ascii="宋体" w:hAnsi="宋体" w:eastAsia="宋体" w:cs="宋体"/>
          <w:color w:val="auto"/>
          <w:kern w:val="0"/>
          <w:sz w:val="24"/>
        </w:rPr>
        <w:t>19.7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%；金融业增加值</w:t>
      </w:r>
      <w:r>
        <w:rPr>
          <w:rFonts w:ascii="宋体" w:hAnsi="宋体" w:eastAsia="宋体" w:cs="宋体"/>
          <w:color w:val="auto"/>
          <w:kern w:val="0"/>
          <w:sz w:val="24"/>
        </w:rPr>
        <w:t>501222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万元，增长5</w:t>
      </w:r>
      <w:r>
        <w:rPr>
          <w:rFonts w:ascii="宋体" w:hAnsi="宋体" w:eastAsia="宋体" w:cs="宋体"/>
          <w:color w:val="auto"/>
          <w:kern w:val="0"/>
          <w:sz w:val="24"/>
        </w:rPr>
        <w:t>.6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%；房地产业增加值</w:t>
      </w:r>
      <w:r>
        <w:rPr>
          <w:rFonts w:ascii="宋体" w:hAnsi="宋体" w:eastAsia="宋体" w:cs="宋体"/>
          <w:color w:val="auto"/>
          <w:kern w:val="0"/>
          <w:sz w:val="24"/>
        </w:rPr>
        <w:t>286550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万元，增长</w:t>
      </w:r>
      <w:r>
        <w:rPr>
          <w:rFonts w:ascii="宋体" w:hAnsi="宋体" w:eastAsia="宋体" w:cs="宋体"/>
          <w:color w:val="auto"/>
          <w:kern w:val="0"/>
          <w:sz w:val="24"/>
        </w:rPr>
        <w:t>1.0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%；营利性服务业增加值</w:t>
      </w:r>
      <w:r>
        <w:rPr>
          <w:rFonts w:ascii="宋体" w:hAnsi="宋体" w:eastAsia="宋体" w:cs="宋体"/>
          <w:color w:val="auto"/>
          <w:kern w:val="0"/>
          <w:sz w:val="24"/>
        </w:rPr>
        <w:t>719332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万元，增长</w:t>
      </w:r>
      <w:r>
        <w:rPr>
          <w:rFonts w:ascii="宋体" w:hAnsi="宋体" w:eastAsia="宋体" w:cs="宋体"/>
          <w:color w:val="auto"/>
          <w:kern w:val="0"/>
          <w:sz w:val="24"/>
        </w:rPr>
        <w:t>8.2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%；非营利性服务业增加值7</w:t>
      </w:r>
      <w:r>
        <w:rPr>
          <w:rFonts w:ascii="宋体" w:hAnsi="宋体" w:eastAsia="宋体" w:cs="宋体"/>
          <w:color w:val="auto"/>
          <w:kern w:val="0"/>
          <w:sz w:val="24"/>
        </w:rPr>
        <w:t>99785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万元，增长</w:t>
      </w:r>
      <w:r>
        <w:rPr>
          <w:rFonts w:ascii="宋体" w:hAnsi="宋体" w:eastAsia="宋体" w:cs="宋体"/>
          <w:color w:val="auto"/>
          <w:kern w:val="0"/>
          <w:sz w:val="24"/>
        </w:rPr>
        <w:t>6.3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%。全年全区规模以上服务业企业</w:t>
      </w:r>
      <w:r>
        <w:rPr>
          <w:rFonts w:ascii="宋体" w:hAnsi="宋体" w:eastAsia="宋体" w:cs="宋体"/>
          <w:color w:val="auto"/>
          <w:kern w:val="0"/>
          <w:sz w:val="24"/>
        </w:rPr>
        <w:t>60</w:t>
      </w:r>
      <w:r>
        <w:rPr>
          <w:rFonts w:hint="eastAsia" w:ascii="宋体" w:hAnsi="宋体" w:eastAsia="宋体" w:cs="宋体"/>
          <w:color w:val="auto"/>
          <w:kern w:val="0"/>
          <w:sz w:val="24"/>
        </w:rPr>
        <w:t>家，营业收入实现</w:t>
      </w:r>
      <w:r>
        <w:rPr>
          <w:rFonts w:ascii="宋体" w:hAnsi="宋体" w:eastAsia="宋体" w:cs="宋体"/>
          <w:color w:val="auto"/>
          <w:kern w:val="0"/>
          <w:sz w:val="24"/>
        </w:rPr>
        <w:t>681380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万元，比上年增长</w:t>
      </w:r>
      <w:r>
        <w:rPr>
          <w:rFonts w:ascii="宋体" w:hAnsi="宋体" w:eastAsia="宋体" w:cs="宋体"/>
          <w:color w:val="auto"/>
          <w:kern w:val="0"/>
          <w:sz w:val="24"/>
        </w:rPr>
        <w:t>13.5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%。</w:t>
      </w:r>
    </w:p>
    <w:p>
      <w:pPr>
        <w:widowControl/>
        <w:spacing w:line="580" w:lineRule="exact"/>
        <w:ind w:firstLine="602" w:firstLineChars="250"/>
        <w:jc w:val="center"/>
        <w:rPr>
          <w:rFonts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</w:rPr>
        <w:t>图5  201</w:t>
      </w:r>
      <w:r>
        <w:rPr>
          <w:rFonts w:ascii="宋体" w:hAnsi="宋体" w:cs="宋体"/>
          <w:b/>
          <w:color w:val="auto"/>
          <w:kern w:val="0"/>
          <w:sz w:val="24"/>
        </w:rPr>
        <w:t>8</w:t>
      </w:r>
      <w:r>
        <w:rPr>
          <w:rFonts w:hint="eastAsia" w:ascii="宋体" w:hAnsi="宋体" w:cs="宋体"/>
          <w:b/>
          <w:color w:val="auto"/>
          <w:kern w:val="0"/>
          <w:sz w:val="24"/>
        </w:rPr>
        <w:t>-202</w:t>
      </w:r>
      <w:r>
        <w:rPr>
          <w:rFonts w:ascii="宋体" w:hAnsi="宋体" w:cs="宋体"/>
          <w:b/>
          <w:color w:val="auto"/>
          <w:kern w:val="0"/>
          <w:sz w:val="24"/>
        </w:rPr>
        <w:t>3</w:t>
      </w:r>
      <w:r>
        <w:rPr>
          <w:rFonts w:hint="eastAsia" w:ascii="宋体" w:hAnsi="宋体" w:cs="宋体"/>
          <w:b/>
          <w:color w:val="auto"/>
          <w:kern w:val="0"/>
          <w:sz w:val="24"/>
        </w:rPr>
        <w:t>年服务业增加值及增长速度</w:t>
      </w:r>
    </w:p>
    <w:p>
      <w:pPr>
        <w:widowControl/>
        <w:spacing w:line="480" w:lineRule="auto"/>
        <w:rPr>
          <w:rFonts w:ascii="宋体" w:hAnsi="宋体" w:eastAsia="宋体" w:cs="宋体"/>
          <w:color w:val="auto"/>
          <w:kern w:val="0"/>
          <w:sz w:val="24"/>
        </w:rPr>
      </w:pPr>
      <w:r>
        <w:rPr>
          <w:color w:val="auto"/>
        </w:rPr>
        <w:drawing>
          <wp:inline distT="0" distB="0" distL="0" distR="0">
            <wp:extent cx="5274310" cy="2950210"/>
            <wp:effectExtent l="0" t="0" r="2540" b="2540"/>
            <wp:docPr id="70587496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widowControl/>
        <w:spacing w:line="600" w:lineRule="exact"/>
        <w:ind w:firstLine="480" w:firstLineChars="200"/>
        <w:rPr>
          <w:rFonts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全年全区货物运输量41.4万吨，比上年下降49.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%，货物运输周转量6888万吨公里，下降49.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%；旅客运输量68.17万人，增长155.5%，旅客周转量18008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.3</w:t>
      </w:r>
      <w:r>
        <w:rPr>
          <w:rFonts w:hint="eastAsia" w:ascii="宋体" w:hAnsi="宋体" w:eastAsia="宋体" w:cs="宋体"/>
          <w:color w:val="auto"/>
          <w:kern w:val="0"/>
          <w:sz w:val="24"/>
        </w:rPr>
        <w:t xml:space="preserve">万人公里，增长254.4%。全年全区规模以上交通运输、仓储和邮政业企业11家，实现营业收入22.3亿元，增长4.0%；实现利润4.8亿元，下降0.7%。 </w:t>
      </w:r>
      <w:r>
        <w:rPr>
          <w:rFonts w:ascii="宋体" w:hAnsi="宋体" w:eastAsia="宋体" w:cs="宋体"/>
          <w:color w:val="auto"/>
          <w:kern w:val="0"/>
          <w:sz w:val="24"/>
        </w:rPr>
        <w:t xml:space="preserve"> </w:t>
      </w:r>
    </w:p>
    <w:p>
      <w:pPr>
        <w:widowControl/>
        <w:spacing w:line="600" w:lineRule="exact"/>
        <w:ind w:firstLine="480" w:firstLineChars="200"/>
        <w:rPr>
          <w:rFonts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全年完成邮电业务总量20.3亿元。其中，邮政业务总量1.9亿元，全年完成邮政函件业务50.5万件，包裹业务1.5万件，快递业务475.5万件；快递业务收入903.6万元。电信业务总量19.0亿元，其中，移动业务总量10.2亿元，联通业务总量8.8亿元。</w:t>
      </w:r>
    </w:p>
    <w:p>
      <w:pPr>
        <w:widowControl/>
        <w:spacing w:before="100" w:beforeAutospacing="1" w:after="100" w:afterAutospacing="1" w:line="600" w:lineRule="exact"/>
        <w:jc w:val="center"/>
        <w:rPr>
          <w:rFonts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七、固定资产投资</w:t>
      </w:r>
    </w:p>
    <w:p>
      <w:pPr>
        <w:widowControl/>
        <w:tabs>
          <w:tab w:val="left" w:pos="7020"/>
        </w:tabs>
        <w:spacing w:line="48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全年全区固定资产投资项目（含房地产开发项目）24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个，完成投资121.8亿元，比上年增长7.1%。其中，建筑安装工程投资86.1亿元，下降0.7%。民间投资57.3亿元，增长10.2%。基础设施投资21.7亿元，下降13.9%。产业类投资28.7亿元，增长54.7%。</w:t>
      </w:r>
    </w:p>
    <w:p>
      <w:pPr>
        <w:widowControl/>
        <w:tabs>
          <w:tab w:val="left" w:pos="7020"/>
        </w:tabs>
        <w:spacing w:line="480" w:lineRule="auto"/>
        <w:ind w:firstLine="1687" w:firstLineChars="700"/>
        <w:jc w:val="both"/>
        <w:rPr>
          <w:rFonts w:ascii="宋体" w:hAnsi="宋体" w:cs="宋体"/>
          <w:b/>
          <w:color w:val="auto"/>
          <w:kern w:val="0"/>
          <w:sz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</w:rPr>
        <w:t>图6  201</w:t>
      </w:r>
      <w:r>
        <w:rPr>
          <w:rFonts w:hint="eastAsia" w:ascii="宋体" w:hAnsi="宋体" w:cs="宋体"/>
          <w:b/>
          <w:color w:val="auto"/>
          <w:kern w:val="0"/>
          <w:sz w:val="24"/>
          <w:lang w:val="en-US" w:eastAsia="zh-CN"/>
        </w:rPr>
        <w:t>8</w:t>
      </w:r>
      <w:r>
        <w:rPr>
          <w:rFonts w:hint="eastAsia" w:ascii="宋体" w:hAnsi="宋体" w:cs="宋体"/>
          <w:b/>
          <w:color w:val="auto"/>
          <w:kern w:val="0"/>
          <w:sz w:val="24"/>
        </w:rPr>
        <w:t>-202</w:t>
      </w:r>
      <w:r>
        <w:rPr>
          <w:rFonts w:hint="eastAsia" w:ascii="宋体" w:hAnsi="宋体" w:cs="宋体"/>
          <w:b/>
          <w:color w:val="auto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color w:val="auto"/>
          <w:kern w:val="0"/>
          <w:sz w:val="24"/>
        </w:rPr>
        <w:t>年固定资产投资增长速度</w:t>
      </w:r>
    </w:p>
    <w:p>
      <w:pPr>
        <w:widowControl/>
        <w:tabs>
          <w:tab w:val="left" w:pos="7020"/>
        </w:tabs>
        <w:spacing w:line="480" w:lineRule="auto"/>
        <w:rPr>
          <w:rFonts w:ascii="宋体" w:hAnsi="宋体" w:cs="宋体"/>
          <w:b/>
          <w:color w:val="auto"/>
          <w:kern w:val="0"/>
          <w:sz w:val="24"/>
        </w:rPr>
      </w:pPr>
      <w:r>
        <w:rPr>
          <w:color w:val="auto"/>
        </w:rPr>
        <w:drawing>
          <wp:inline distT="0" distB="0" distL="114300" distR="114300">
            <wp:extent cx="5273675" cy="3002915"/>
            <wp:effectExtent l="4445" t="4445" r="17780" b="21590"/>
            <wp:docPr id="8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widowControl/>
        <w:spacing w:line="48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</w:rPr>
      </w:pPr>
      <w:bookmarkStart w:id="1" w:name="_Hlk69913400"/>
      <w:r>
        <w:rPr>
          <w:rFonts w:hint="eastAsia" w:ascii="宋体" w:hAnsi="宋体" w:eastAsia="宋体" w:cs="宋体"/>
          <w:color w:val="auto"/>
          <w:kern w:val="0"/>
          <w:sz w:val="24"/>
        </w:rPr>
        <w:t>在固定资产投资中，第一产业投资1.6亿元，增长30.4%；第二产业投资7.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亿元，下降37.5%；第三产业投资112.4亿元，增长12.4%。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全年房地产开发投资49.3亿元，比上年增长5.3%。其中，住宅投资35.1亿元，增长16.9%；办公楼投资0.3亿元，增长96.1%；商业营业用房投资4.9亿元，增长9.8%。</w:t>
      </w:r>
    </w:p>
    <w:p>
      <w:pPr>
        <w:widowControl/>
        <w:spacing w:line="480" w:lineRule="auto"/>
        <w:ind w:firstLine="482" w:firstLineChars="200"/>
        <w:jc w:val="center"/>
        <w:rPr>
          <w:rFonts w:ascii="宋体" w:hAnsi="宋体" w:eastAsia="宋体" w:cs="宋体"/>
          <w:b/>
          <w:color w:val="auto"/>
          <w:kern w:val="0"/>
          <w:sz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</w:rPr>
        <w:t>表6  202</w:t>
      </w:r>
      <w:r>
        <w:rPr>
          <w:rFonts w:hint="eastAsia" w:ascii="宋体" w:hAnsi="宋体" w:eastAsia="宋体" w:cs="宋体"/>
          <w:b/>
          <w:color w:val="auto"/>
          <w:kern w:val="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auto"/>
          <w:kern w:val="0"/>
          <w:sz w:val="24"/>
        </w:rPr>
        <w:t>年房地产开发和销售情况</w:t>
      </w:r>
    </w:p>
    <w:tbl>
      <w:tblPr>
        <w:tblStyle w:val="6"/>
        <w:tblW w:w="7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636"/>
        <w:gridCol w:w="1604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指标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单位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绝对数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CCFFFF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比上年增长%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投资完成额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其中：住宅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房屋施工面积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其中：住宅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房屋新开工面积</w:t>
            </w:r>
          </w:p>
          <w:p>
            <w:pPr>
              <w:widowControl/>
              <w:spacing w:line="480" w:lineRule="auto"/>
              <w:ind w:firstLine="240" w:firstLineChars="10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其中：住宅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房屋竣工面积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其中：住宅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商品房销售面积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其中：住宅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亿元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亿元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平方米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平方米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平方米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平方米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平方米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平方米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平方米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平方米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49.3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right"/>
              <w:rPr>
                <w:rFonts w:hint="default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35.1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righ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4738111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righ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3517393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1082524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842523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/>
              </w:rPr>
              <w:t>1573549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/>
              </w:rPr>
              <w:t>1206609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/>
              </w:rPr>
              <w:t>560660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/>
              </w:rPr>
              <w:t>546818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righ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5.3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righ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16.9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righ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-16.0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righ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-15.9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righ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25.0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righ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32.2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righ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6.9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righ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9.5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righ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-5.5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righ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3.5</w:t>
            </w:r>
          </w:p>
        </w:tc>
      </w:tr>
      <w:bookmarkEnd w:id="1"/>
    </w:tbl>
    <w:p>
      <w:pPr>
        <w:widowControl/>
        <w:spacing w:before="100" w:beforeAutospacing="1" w:after="100" w:afterAutospacing="1" w:line="600" w:lineRule="exact"/>
        <w:jc w:val="center"/>
        <w:rPr>
          <w:rFonts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八、教育、科技、文化、卫生和体育</w:t>
      </w:r>
    </w:p>
    <w:p>
      <w:pPr>
        <w:widowControl/>
        <w:spacing w:line="600" w:lineRule="exact"/>
        <w:ind w:firstLine="480" w:firstLineChars="200"/>
        <w:rPr>
          <w:rFonts w:ascii="宋体" w:hAnsi="宋体" w:eastAsia="宋体" w:cs="宋体"/>
          <w:color w:val="auto"/>
          <w:kern w:val="0"/>
          <w:sz w:val="24"/>
        </w:rPr>
      </w:pPr>
      <w:bookmarkStart w:id="2" w:name="_Hlk69914006"/>
      <w:r>
        <w:rPr>
          <w:rFonts w:hint="eastAsia" w:ascii="宋体" w:hAnsi="宋体" w:eastAsia="宋体" w:cs="宋体"/>
          <w:color w:val="auto"/>
          <w:kern w:val="0"/>
          <w:sz w:val="24"/>
        </w:rPr>
        <w:t>民生福祉持续增进。始终把群众安危冷暖记在心上、扛在肩上，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全</w:t>
      </w:r>
      <w:r>
        <w:rPr>
          <w:rFonts w:hint="eastAsia" w:ascii="宋体" w:hAnsi="宋体" w:eastAsia="宋体" w:cs="宋体"/>
          <w:color w:val="auto"/>
          <w:kern w:val="0"/>
          <w:sz w:val="24"/>
        </w:rPr>
        <w:t>年用于民生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kern w:val="0"/>
          <w:sz w:val="24"/>
        </w:rPr>
        <w:t>投资7.9亿元，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占全区一般公共预算收入的84%，</w:t>
      </w:r>
      <w:r>
        <w:rPr>
          <w:rFonts w:hint="eastAsia" w:ascii="宋体" w:hAnsi="宋体" w:eastAsia="宋体" w:cs="宋体"/>
          <w:color w:val="auto"/>
          <w:kern w:val="0"/>
          <w:sz w:val="24"/>
        </w:rPr>
        <w:t>办成了省市区28件民生实事，惠及各类群体16.5万人。聚焦群众上学、就业、看病、养老、住房等难题，高标准建成8所学校，回收4所幼儿园，新增学位4170个；新建1个零工市场、17个就业平台、47个共富驿站，新增就业1.3万人；73个村卫生室诊疗设施完成配备更新；西巷、时家岭等3处幸福养老工程全面建成，新星托育中心主体封顶；老城31栋4026套回迁房顺利交付，真正把一张张“民生清单”兑现成为老百姓的“幸福账单”。</w:t>
      </w:r>
    </w:p>
    <w:p>
      <w:pPr>
        <w:widowControl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全年全区财政性教育投入达到5.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亿元，占财政总支出的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16.8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%。</w:t>
      </w:r>
      <w:bookmarkEnd w:id="2"/>
      <w:r>
        <w:rPr>
          <w:rFonts w:hint="eastAsia" w:ascii="宋体" w:hAnsi="宋体" w:eastAsia="宋体" w:cs="宋体"/>
          <w:color w:val="auto"/>
          <w:kern w:val="0"/>
          <w:sz w:val="24"/>
        </w:rPr>
        <w:t>年末全区有普通中学31所，招生9611人，在校生29990人，毕业生9364人，教职工4262人；职业中学6所，招生2665人，在校生8141人，毕业生2874人，教职工651人；小学51所，招生9764人，在校生42647人，毕业生6258人，教职工2285人；幼儿园101所，招生7002人，在园幼儿23947人，毕业幼儿8846人，教职工3092人。</w:t>
      </w:r>
    </w:p>
    <w:p>
      <w:pPr>
        <w:widowControl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年末全区有公共图书馆1个，藏书11.3万册；文化馆1个，组织文艺活动和培训77次，图书馆和文化馆收入310.2万元；艺术表演团体1个，演出场次520场，观众人数15万人次，收入320万元；广播电视台1个，自制作电视节目96小时。有线电视覆盖率100%。书店系统总发行图书4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53.0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万册，图书发行总值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8905.3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万元。</w:t>
      </w:r>
    </w:p>
    <w:p>
      <w:pPr>
        <w:widowControl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年末全区共有卫生机构119个，开放床位942张，从业人员2100人，电脑1346台，各种医疗器械199台。</w:t>
      </w:r>
    </w:p>
    <w:p>
      <w:pPr>
        <w:widowControl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年末全区有体育机构1个，举办运动会14次，参会运动员4000余人。</w:t>
      </w:r>
    </w:p>
    <w:p>
      <w:pPr>
        <w:widowControl/>
        <w:spacing w:line="600" w:lineRule="exact"/>
        <w:ind w:firstLine="2249" w:firstLineChars="800"/>
        <w:rPr>
          <w:rFonts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九、居民收入消费和社会保障</w:t>
      </w:r>
    </w:p>
    <w:p>
      <w:pPr>
        <w:widowControl/>
        <w:wordWrap w:val="0"/>
        <w:spacing w:line="600" w:lineRule="exact"/>
        <w:ind w:firstLine="480" w:firstLineChars="200"/>
        <w:jc w:val="left"/>
        <w:rPr>
          <w:rFonts w:eastAsia="宋体"/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全年全区城镇居民人均可支配收入4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6385</w:t>
      </w:r>
      <w:r>
        <w:rPr>
          <w:rFonts w:hint="eastAsia" w:ascii="宋体" w:hAnsi="宋体" w:eastAsia="宋体" w:cs="宋体"/>
          <w:color w:val="auto"/>
          <w:kern w:val="0"/>
          <w:sz w:val="24"/>
        </w:rPr>
        <w:t>元，比上年增长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5.0</w:t>
      </w:r>
      <w:r>
        <w:rPr>
          <w:rFonts w:hint="eastAsia" w:ascii="宋体" w:hAnsi="宋体" w:eastAsia="宋体" w:cs="宋体"/>
          <w:color w:val="auto"/>
          <w:kern w:val="0"/>
          <w:sz w:val="24"/>
        </w:rPr>
        <w:t>%。</w:t>
      </w:r>
    </w:p>
    <w:p>
      <w:pPr>
        <w:widowControl/>
        <w:spacing w:line="580" w:lineRule="exact"/>
        <w:ind w:firstLine="602" w:firstLineChars="250"/>
        <w:jc w:val="center"/>
        <w:rPr>
          <w:rFonts w:ascii="宋体" w:hAnsi="宋体" w:cs="宋体"/>
          <w:b/>
          <w:color w:val="auto"/>
          <w:kern w:val="0"/>
          <w:sz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</w:rPr>
        <w:t>图7  201</w:t>
      </w:r>
      <w:r>
        <w:rPr>
          <w:rFonts w:hint="eastAsia" w:ascii="宋体" w:hAnsi="宋体" w:cs="宋体"/>
          <w:b/>
          <w:color w:val="auto"/>
          <w:kern w:val="0"/>
          <w:sz w:val="24"/>
          <w:lang w:val="en-US" w:eastAsia="zh-CN"/>
        </w:rPr>
        <w:t>8</w:t>
      </w:r>
      <w:r>
        <w:rPr>
          <w:rFonts w:hint="eastAsia" w:ascii="宋体" w:hAnsi="宋体" w:cs="宋体"/>
          <w:b/>
          <w:color w:val="auto"/>
          <w:kern w:val="0"/>
          <w:sz w:val="24"/>
        </w:rPr>
        <w:t>-202</w:t>
      </w:r>
      <w:r>
        <w:rPr>
          <w:rFonts w:hint="eastAsia" w:ascii="宋体" w:hAnsi="宋体" w:cs="宋体"/>
          <w:b/>
          <w:color w:val="auto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color w:val="auto"/>
          <w:kern w:val="0"/>
          <w:sz w:val="24"/>
        </w:rPr>
        <w:t>年城镇居民人均可支配收入及增长速度</w:t>
      </w:r>
    </w:p>
    <w:p>
      <w:pPr>
        <w:widowControl/>
        <w:spacing w:line="360" w:lineRule="auto"/>
        <w:rPr>
          <w:rFonts w:ascii="宋体" w:hAnsi="宋体" w:eastAsia="宋体" w:cs="宋体"/>
          <w:color w:val="auto"/>
          <w:kern w:val="0"/>
          <w:sz w:val="24"/>
        </w:rPr>
      </w:pPr>
      <w:r>
        <w:rPr>
          <w:color w:val="auto"/>
        </w:rPr>
        <w:drawing>
          <wp:inline distT="0" distB="0" distL="114300" distR="114300">
            <wp:extent cx="5273675" cy="2870200"/>
            <wp:effectExtent l="4445" t="4445" r="17780" b="2095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widowControl/>
        <w:spacing w:line="600" w:lineRule="exact"/>
        <w:ind w:firstLine="482"/>
        <w:rPr>
          <w:rFonts w:hint="eastAsia"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参加城乡居民养老保险68944人，减少203人。参加城镇职工基本医疗保险50935人，增加6264人。参加城乡居民医疗保险190261人，增加1810人，参保率达100%。参加失业保险42439人，增加6850人。</w:t>
      </w:r>
    </w:p>
    <w:p>
      <w:pPr>
        <w:widowControl/>
        <w:spacing w:line="600" w:lineRule="exact"/>
        <w:ind w:firstLine="482" w:firstLineChars="200"/>
        <w:jc w:val="left"/>
        <w:rPr>
          <w:rFonts w:hint="eastAsia" w:ascii="宋体" w:hAnsi="宋体" w:eastAsia="宋体" w:cs="宋体"/>
          <w:b/>
          <w:color w:val="auto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</w:rPr>
        <w:t>注释</w:t>
      </w:r>
      <w:r>
        <w:rPr>
          <w:rFonts w:hint="eastAsia" w:ascii="宋体" w:hAnsi="宋体" w:eastAsia="宋体" w:cs="宋体"/>
          <w:b/>
          <w:color w:val="auto"/>
          <w:kern w:val="0"/>
          <w:sz w:val="24"/>
          <w:lang w:eastAsia="zh-CN"/>
        </w:rPr>
        <w:t>：</w:t>
      </w:r>
    </w:p>
    <w:p>
      <w:pPr>
        <w:widowControl/>
        <w:spacing w:line="600" w:lineRule="exact"/>
        <w:ind w:firstLine="480" w:firstLineChars="200"/>
        <w:jc w:val="left"/>
        <w:rPr>
          <w:rFonts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1.本公报部分数据为初步统计数。</w:t>
      </w:r>
    </w:p>
    <w:p>
      <w:pPr>
        <w:widowControl/>
        <w:spacing w:line="600" w:lineRule="exact"/>
        <w:ind w:firstLine="480" w:firstLineChars="200"/>
        <w:jc w:val="left"/>
        <w:rPr>
          <w:rFonts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2.本公报部分数据由相关部门提供。</w:t>
      </w:r>
    </w:p>
    <w:p>
      <w:pPr>
        <w:widowControl/>
        <w:spacing w:line="600" w:lineRule="exact"/>
        <w:ind w:firstLine="480" w:firstLineChars="200"/>
        <w:jc w:val="left"/>
        <w:rPr>
          <w:rFonts w:ascii="宋体" w:hAnsi="宋体" w:eastAsia="宋体" w:cs="宋体"/>
          <w:color w:val="auto"/>
          <w:kern w:val="0"/>
          <w:sz w:val="24"/>
        </w:rPr>
      </w:pPr>
      <w:r>
        <w:rPr>
          <w:rFonts w:ascii="宋体" w:hAnsi="宋体" w:eastAsia="宋体" w:cs="宋体"/>
          <w:color w:val="auto"/>
          <w:kern w:val="0"/>
          <w:sz w:val="24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4"/>
        </w:rPr>
        <w:t>人口、生产总值、农业、服务业、财政、金融证券保险业、教育、卫生、社会保障、城镇居民可支配收入等部分数据为含北石店口径。</w:t>
      </w:r>
    </w:p>
    <w:p>
      <w:pPr>
        <w:widowControl/>
        <w:spacing w:line="600" w:lineRule="exact"/>
        <w:ind w:firstLine="480" w:firstLineChars="200"/>
        <w:jc w:val="left"/>
        <w:rPr>
          <w:rFonts w:ascii="宋体" w:hAnsi="宋体" w:eastAsia="宋体" w:cs="宋体"/>
          <w:color w:val="auto"/>
          <w:kern w:val="0"/>
          <w:sz w:val="24"/>
        </w:rPr>
      </w:pPr>
      <w:r>
        <w:rPr>
          <w:rFonts w:ascii="宋体" w:hAnsi="宋体" w:eastAsia="宋体" w:cs="宋体"/>
          <w:color w:val="auto"/>
          <w:kern w:val="0"/>
          <w:sz w:val="24"/>
        </w:rPr>
        <w:t>4.</w:t>
      </w:r>
      <w:r>
        <w:rPr>
          <w:rFonts w:hint="eastAsia" w:ascii="宋体" w:hAnsi="宋体" w:eastAsia="宋体" w:cs="宋体"/>
          <w:color w:val="auto"/>
          <w:kern w:val="0"/>
          <w:sz w:val="24"/>
        </w:rPr>
        <w:t>工业和建筑业、民营经济、固定资产投资、社会消费品零售总额、交通运输、邮电指标等部分数据为含南村口径。</w:t>
      </w:r>
    </w:p>
    <w:p>
      <w:pPr>
        <w:widowControl/>
        <w:spacing w:line="600" w:lineRule="exact"/>
        <w:ind w:firstLine="480" w:firstLineChars="200"/>
        <w:jc w:val="left"/>
        <w:rPr>
          <w:rFonts w:ascii="宋体" w:hAnsi="宋体" w:eastAsia="宋体" w:cs="宋体"/>
          <w:color w:val="auto"/>
          <w:kern w:val="0"/>
          <w:sz w:val="24"/>
        </w:rPr>
      </w:pPr>
      <w:r>
        <w:rPr>
          <w:rFonts w:ascii="宋体" w:hAnsi="宋体" w:eastAsia="宋体" w:cs="宋体"/>
          <w:color w:val="auto"/>
          <w:kern w:val="0"/>
          <w:sz w:val="24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</w:rPr>
        <w:t>.地区生产总值、各行业增加值绝对数按现价计算，增长速度按可比价计算。</w:t>
      </w:r>
    </w:p>
    <w:p>
      <w:pPr>
        <w:widowControl/>
        <w:spacing w:line="600" w:lineRule="exact"/>
        <w:ind w:firstLine="480" w:firstLineChars="200"/>
        <w:jc w:val="left"/>
        <w:rPr>
          <w:rFonts w:ascii="宋体" w:hAnsi="宋体" w:eastAsia="宋体" w:cs="宋体"/>
          <w:color w:val="auto"/>
          <w:kern w:val="0"/>
          <w:sz w:val="24"/>
        </w:rPr>
      </w:pPr>
      <w:r>
        <w:rPr>
          <w:rFonts w:ascii="宋体" w:hAnsi="宋体" w:eastAsia="宋体" w:cs="宋体"/>
          <w:color w:val="auto"/>
          <w:kern w:val="0"/>
          <w:sz w:val="24"/>
        </w:rPr>
        <w:t>6</w:t>
      </w:r>
      <w:r>
        <w:rPr>
          <w:rFonts w:hint="eastAsia" w:ascii="宋体" w:hAnsi="宋体" w:eastAsia="宋体" w:cs="宋体"/>
          <w:color w:val="auto"/>
          <w:kern w:val="0"/>
          <w:sz w:val="24"/>
        </w:rPr>
        <w:t>.本公报中货物、旅客运输量和周转量数据仅包括省运和市运。</w:t>
      </w:r>
    </w:p>
    <w:p>
      <w:pPr>
        <w:widowControl/>
        <w:spacing w:line="600" w:lineRule="exact"/>
        <w:ind w:firstLine="480" w:firstLineChars="200"/>
        <w:jc w:val="left"/>
        <w:rPr>
          <w:rFonts w:ascii="宋体" w:hAnsi="宋体" w:eastAsia="宋体" w:cs="宋体"/>
          <w:color w:val="auto"/>
          <w:kern w:val="0"/>
          <w:sz w:val="24"/>
        </w:rPr>
      </w:pPr>
      <w:r>
        <w:rPr>
          <w:rFonts w:ascii="宋体" w:hAnsi="宋体" w:eastAsia="宋体" w:cs="宋体"/>
          <w:color w:val="auto"/>
          <w:kern w:val="0"/>
          <w:sz w:val="24"/>
        </w:rPr>
        <w:t>7</w:t>
      </w:r>
      <w:r>
        <w:rPr>
          <w:rFonts w:hint="eastAsia" w:ascii="宋体" w:hAnsi="宋体" w:eastAsia="宋体" w:cs="宋体"/>
          <w:color w:val="auto"/>
          <w:kern w:val="0"/>
          <w:sz w:val="24"/>
        </w:rPr>
        <w:t>.本公报中邮政业务包括城区和泽州。</w:t>
      </w:r>
    </w:p>
    <w:p>
      <w:pPr>
        <w:widowControl/>
        <w:spacing w:line="600" w:lineRule="exact"/>
        <w:ind w:firstLine="480" w:firstLineChars="200"/>
        <w:jc w:val="left"/>
        <w:rPr>
          <w:rFonts w:ascii="宋体" w:hAnsi="宋体" w:eastAsia="宋体" w:cs="宋体"/>
          <w:color w:val="auto"/>
          <w:kern w:val="0"/>
          <w:sz w:val="24"/>
        </w:rPr>
      </w:pPr>
      <w:r>
        <w:rPr>
          <w:rFonts w:ascii="宋体" w:hAnsi="宋体" w:eastAsia="宋体" w:cs="宋体"/>
          <w:color w:val="auto"/>
          <w:kern w:val="0"/>
          <w:sz w:val="24"/>
        </w:rPr>
        <w:t>8</w:t>
      </w:r>
      <w:r>
        <w:rPr>
          <w:rFonts w:hint="eastAsia" w:ascii="宋体" w:hAnsi="宋体" w:eastAsia="宋体" w:cs="宋体"/>
          <w:color w:val="auto"/>
          <w:kern w:val="0"/>
          <w:sz w:val="24"/>
        </w:rPr>
        <w:t>.教育方面数据未包括市属中专以上学校。</w:t>
      </w:r>
    </w:p>
    <w:p>
      <w:pPr>
        <w:widowControl/>
        <w:spacing w:line="600" w:lineRule="exact"/>
        <w:ind w:firstLine="480" w:firstLineChars="200"/>
        <w:jc w:val="left"/>
        <w:rPr>
          <w:rFonts w:ascii="宋体" w:hAnsi="宋体" w:eastAsia="宋体" w:cs="宋体"/>
          <w:color w:val="auto"/>
          <w:kern w:val="0"/>
          <w:sz w:val="24"/>
        </w:rPr>
      </w:pPr>
      <w:r>
        <w:rPr>
          <w:rFonts w:ascii="宋体" w:hAnsi="宋体" w:eastAsia="宋体" w:cs="宋体"/>
          <w:color w:val="auto"/>
          <w:kern w:val="0"/>
          <w:sz w:val="24"/>
        </w:rPr>
        <w:t>9</w:t>
      </w:r>
      <w:r>
        <w:rPr>
          <w:rFonts w:hint="eastAsia" w:ascii="宋体" w:hAnsi="宋体" w:eastAsia="宋体" w:cs="宋体"/>
          <w:color w:val="auto"/>
          <w:kern w:val="0"/>
          <w:sz w:val="24"/>
        </w:rPr>
        <w:t>.本公报所列增加、增长、减少、下降均系与上年比较。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ZDgxMGUxZDkxZTcxMWQ1MTkzZWQxOGU2MWJjZWYifQ=="/>
    <w:docVar w:name="KSO_WPS_MARK_KEY" w:val="81c9e5ae-6066-45e2-ac73-264ad2b4e98b"/>
  </w:docVars>
  <w:rsids>
    <w:rsidRoot w:val="008635FB"/>
    <w:rsid w:val="000050B1"/>
    <w:rsid w:val="0000571B"/>
    <w:rsid w:val="00017D38"/>
    <w:rsid w:val="00021774"/>
    <w:rsid w:val="0003593B"/>
    <w:rsid w:val="0004554C"/>
    <w:rsid w:val="00047828"/>
    <w:rsid w:val="000524D7"/>
    <w:rsid w:val="0005337E"/>
    <w:rsid w:val="0006114B"/>
    <w:rsid w:val="0006198E"/>
    <w:rsid w:val="00063CAC"/>
    <w:rsid w:val="0006403B"/>
    <w:rsid w:val="00064370"/>
    <w:rsid w:val="000728F5"/>
    <w:rsid w:val="00077AF1"/>
    <w:rsid w:val="0008303E"/>
    <w:rsid w:val="0009345D"/>
    <w:rsid w:val="000968A4"/>
    <w:rsid w:val="000A166B"/>
    <w:rsid w:val="000A31C6"/>
    <w:rsid w:val="000B1245"/>
    <w:rsid w:val="000B79DB"/>
    <w:rsid w:val="000C277A"/>
    <w:rsid w:val="000C3349"/>
    <w:rsid w:val="000D7D4C"/>
    <w:rsid w:val="000E5383"/>
    <w:rsid w:val="000F351D"/>
    <w:rsid w:val="000F6CB5"/>
    <w:rsid w:val="00106E0C"/>
    <w:rsid w:val="00114534"/>
    <w:rsid w:val="00115BE4"/>
    <w:rsid w:val="00125E77"/>
    <w:rsid w:val="00130888"/>
    <w:rsid w:val="00137A7E"/>
    <w:rsid w:val="00155BCA"/>
    <w:rsid w:val="00161F83"/>
    <w:rsid w:val="0016654D"/>
    <w:rsid w:val="00175A51"/>
    <w:rsid w:val="00180D91"/>
    <w:rsid w:val="00181395"/>
    <w:rsid w:val="001902F4"/>
    <w:rsid w:val="00191090"/>
    <w:rsid w:val="001923E8"/>
    <w:rsid w:val="00195FE4"/>
    <w:rsid w:val="0019780A"/>
    <w:rsid w:val="001A021A"/>
    <w:rsid w:val="001A51D3"/>
    <w:rsid w:val="001A5759"/>
    <w:rsid w:val="001B2185"/>
    <w:rsid w:val="001B4F22"/>
    <w:rsid w:val="001B53B3"/>
    <w:rsid w:val="001B6BA7"/>
    <w:rsid w:val="001C213A"/>
    <w:rsid w:val="001C4D8F"/>
    <w:rsid w:val="001D7EF7"/>
    <w:rsid w:val="001E188E"/>
    <w:rsid w:val="001E3F14"/>
    <w:rsid w:val="001E6E19"/>
    <w:rsid w:val="001F1D81"/>
    <w:rsid w:val="002051B6"/>
    <w:rsid w:val="00207409"/>
    <w:rsid w:val="00207D48"/>
    <w:rsid w:val="00207F26"/>
    <w:rsid w:val="00211E20"/>
    <w:rsid w:val="0021614F"/>
    <w:rsid w:val="0022277E"/>
    <w:rsid w:val="00223FBF"/>
    <w:rsid w:val="002247BE"/>
    <w:rsid w:val="00233344"/>
    <w:rsid w:val="00233387"/>
    <w:rsid w:val="002374EB"/>
    <w:rsid w:val="00244402"/>
    <w:rsid w:val="00250208"/>
    <w:rsid w:val="00255812"/>
    <w:rsid w:val="00255869"/>
    <w:rsid w:val="0026624C"/>
    <w:rsid w:val="00266B6E"/>
    <w:rsid w:val="00270029"/>
    <w:rsid w:val="00280AA4"/>
    <w:rsid w:val="00286D18"/>
    <w:rsid w:val="002959A8"/>
    <w:rsid w:val="002B6336"/>
    <w:rsid w:val="002C15D2"/>
    <w:rsid w:val="002C365E"/>
    <w:rsid w:val="002C4D98"/>
    <w:rsid w:val="002E1A2C"/>
    <w:rsid w:val="002E58A4"/>
    <w:rsid w:val="002F54E8"/>
    <w:rsid w:val="00303670"/>
    <w:rsid w:val="00304FFA"/>
    <w:rsid w:val="00312682"/>
    <w:rsid w:val="00312BF4"/>
    <w:rsid w:val="00332C34"/>
    <w:rsid w:val="00333B58"/>
    <w:rsid w:val="00335989"/>
    <w:rsid w:val="00337BAB"/>
    <w:rsid w:val="0034003C"/>
    <w:rsid w:val="0034728D"/>
    <w:rsid w:val="0034766A"/>
    <w:rsid w:val="00352FB6"/>
    <w:rsid w:val="00356BF5"/>
    <w:rsid w:val="00361EC5"/>
    <w:rsid w:val="00362FD6"/>
    <w:rsid w:val="00365E32"/>
    <w:rsid w:val="00391F87"/>
    <w:rsid w:val="0039613D"/>
    <w:rsid w:val="00396FC5"/>
    <w:rsid w:val="003A2F4C"/>
    <w:rsid w:val="003B0D36"/>
    <w:rsid w:val="003B3932"/>
    <w:rsid w:val="003B3A4C"/>
    <w:rsid w:val="003C3ECD"/>
    <w:rsid w:val="003C6B53"/>
    <w:rsid w:val="003C6D15"/>
    <w:rsid w:val="003D49B0"/>
    <w:rsid w:val="003E260E"/>
    <w:rsid w:val="003E52EA"/>
    <w:rsid w:val="003F16D3"/>
    <w:rsid w:val="003F4EC6"/>
    <w:rsid w:val="00400DCB"/>
    <w:rsid w:val="004051CD"/>
    <w:rsid w:val="00414C24"/>
    <w:rsid w:val="00420CF2"/>
    <w:rsid w:val="00430260"/>
    <w:rsid w:val="0043448D"/>
    <w:rsid w:val="00435D14"/>
    <w:rsid w:val="00442C49"/>
    <w:rsid w:val="004436BD"/>
    <w:rsid w:val="00443824"/>
    <w:rsid w:val="00445886"/>
    <w:rsid w:val="00446BE1"/>
    <w:rsid w:val="00447A1F"/>
    <w:rsid w:val="00457FA2"/>
    <w:rsid w:val="00474476"/>
    <w:rsid w:val="00481F3E"/>
    <w:rsid w:val="004825B0"/>
    <w:rsid w:val="00484047"/>
    <w:rsid w:val="004859EC"/>
    <w:rsid w:val="004868F5"/>
    <w:rsid w:val="00487558"/>
    <w:rsid w:val="00490348"/>
    <w:rsid w:val="00490FDA"/>
    <w:rsid w:val="00495D59"/>
    <w:rsid w:val="004A6EDF"/>
    <w:rsid w:val="004A7EBA"/>
    <w:rsid w:val="004B6360"/>
    <w:rsid w:val="004C43EE"/>
    <w:rsid w:val="004C531B"/>
    <w:rsid w:val="004C6281"/>
    <w:rsid w:val="004E0683"/>
    <w:rsid w:val="004E2A71"/>
    <w:rsid w:val="004F1303"/>
    <w:rsid w:val="004F6B95"/>
    <w:rsid w:val="0050274F"/>
    <w:rsid w:val="0050627E"/>
    <w:rsid w:val="00517C9A"/>
    <w:rsid w:val="005244A4"/>
    <w:rsid w:val="00533EE1"/>
    <w:rsid w:val="00534DE4"/>
    <w:rsid w:val="00537174"/>
    <w:rsid w:val="00542058"/>
    <w:rsid w:val="00542431"/>
    <w:rsid w:val="00551F4B"/>
    <w:rsid w:val="0055523A"/>
    <w:rsid w:val="005567D0"/>
    <w:rsid w:val="00556EFE"/>
    <w:rsid w:val="00571AF2"/>
    <w:rsid w:val="00576630"/>
    <w:rsid w:val="005774DD"/>
    <w:rsid w:val="005824B1"/>
    <w:rsid w:val="00582738"/>
    <w:rsid w:val="00584A57"/>
    <w:rsid w:val="00587319"/>
    <w:rsid w:val="00587323"/>
    <w:rsid w:val="0059025D"/>
    <w:rsid w:val="00591271"/>
    <w:rsid w:val="00591F8A"/>
    <w:rsid w:val="005924EB"/>
    <w:rsid w:val="00593158"/>
    <w:rsid w:val="00596D9D"/>
    <w:rsid w:val="00596E88"/>
    <w:rsid w:val="00596E94"/>
    <w:rsid w:val="005A5607"/>
    <w:rsid w:val="005A79F9"/>
    <w:rsid w:val="005B2574"/>
    <w:rsid w:val="005B5074"/>
    <w:rsid w:val="005D0F0F"/>
    <w:rsid w:val="005D4B9F"/>
    <w:rsid w:val="005D7EAC"/>
    <w:rsid w:val="005E04D8"/>
    <w:rsid w:val="005E1CB4"/>
    <w:rsid w:val="005E7D30"/>
    <w:rsid w:val="005F10E9"/>
    <w:rsid w:val="005F43CE"/>
    <w:rsid w:val="005F7396"/>
    <w:rsid w:val="006053ED"/>
    <w:rsid w:val="00607848"/>
    <w:rsid w:val="00613DEF"/>
    <w:rsid w:val="00613F87"/>
    <w:rsid w:val="00623C87"/>
    <w:rsid w:val="00624D7D"/>
    <w:rsid w:val="006310DD"/>
    <w:rsid w:val="00632039"/>
    <w:rsid w:val="006420C9"/>
    <w:rsid w:val="006654C1"/>
    <w:rsid w:val="006777E8"/>
    <w:rsid w:val="00677CFB"/>
    <w:rsid w:val="00692969"/>
    <w:rsid w:val="00695406"/>
    <w:rsid w:val="0069632C"/>
    <w:rsid w:val="0069759E"/>
    <w:rsid w:val="006A4858"/>
    <w:rsid w:val="006A4C7D"/>
    <w:rsid w:val="006B3877"/>
    <w:rsid w:val="006C21AA"/>
    <w:rsid w:val="006C30F4"/>
    <w:rsid w:val="006C4BC8"/>
    <w:rsid w:val="006C521F"/>
    <w:rsid w:val="006C71A1"/>
    <w:rsid w:val="006D3AAD"/>
    <w:rsid w:val="006D47CD"/>
    <w:rsid w:val="006D78E7"/>
    <w:rsid w:val="006E7698"/>
    <w:rsid w:val="006F42B4"/>
    <w:rsid w:val="007016A7"/>
    <w:rsid w:val="00714645"/>
    <w:rsid w:val="007156F0"/>
    <w:rsid w:val="00724D5F"/>
    <w:rsid w:val="00725990"/>
    <w:rsid w:val="00741113"/>
    <w:rsid w:val="00743EE6"/>
    <w:rsid w:val="00745297"/>
    <w:rsid w:val="00746EF0"/>
    <w:rsid w:val="0075051D"/>
    <w:rsid w:val="00755104"/>
    <w:rsid w:val="00761A0B"/>
    <w:rsid w:val="007734A5"/>
    <w:rsid w:val="0077476E"/>
    <w:rsid w:val="00785ED3"/>
    <w:rsid w:val="0078668B"/>
    <w:rsid w:val="00786C2B"/>
    <w:rsid w:val="007B7247"/>
    <w:rsid w:val="007D382D"/>
    <w:rsid w:val="007E66DF"/>
    <w:rsid w:val="007F0267"/>
    <w:rsid w:val="007F0E3F"/>
    <w:rsid w:val="007F288F"/>
    <w:rsid w:val="007F7E66"/>
    <w:rsid w:val="00802D5F"/>
    <w:rsid w:val="00805E7B"/>
    <w:rsid w:val="00817EA5"/>
    <w:rsid w:val="008225E6"/>
    <w:rsid w:val="0082291A"/>
    <w:rsid w:val="0083046C"/>
    <w:rsid w:val="00844849"/>
    <w:rsid w:val="00846CE3"/>
    <w:rsid w:val="00851953"/>
    <w:rsid w:val="0085360C"/>
    <w:rsid w:val="00855577"/>
    <w:rsid w:val="008568E5"/>
    <w:rsid w:val="008571AC"/>
    <w:rsid w:val="008635FB"/>
    <w:rsid w:val="008A1A04"/>
    <w:rsid w:val="008C3A97"/>
    <w:rsid w:val="008D0AF6"/>
    <w:rsid w:val="008D3219"/>
    <w:rsid w:val="008D3315"/>
    <w:rsid w:val="008E2D73"/>
    <w:rsid w:val="008E4D45"/>
    <w:rsid w:val="008F582C"/>
    <w:rsid w:val="00903847"/>
    <w:rsid w:val="00912EC0"/>
    <w:rsid w:val="00916314"/>
    <w:rsid w:val="009220A3"/>
    <w:rsid w:val="009316F0"/>
    <w:rsid w:val="009367C5"/>
    <w:rsid w:val="00942A45"/>
    <w:rsid w:val="009432AA"/>
    <w:rsid w:val="009526A6"/>
    <w:rsid w:val="0095278C"/>
    <w:rsid w:val="009822E5"/>
    <w:rsid w:val="00991238"/>
    <w:rsid w:val="0099556B"/>
    <w:rsid w:val="009A20FD"/>
    <w:rsid w:val="009A5E8C"/>
    <w:rsid w:val="009A741B"/>
    <w:rsid w:val="009B716D"/>
    <w:rsid w:val="009D3CE9"/>
    <w:rsid w:val="009D5A61"/>
    <w:rsid w:val="009E0CD3"/>
    <w:rsid w:val="009E53A5"/>
    <w:rsid w:val="009F1BA7"/>
    <w:rsid w:val="009F2C52"/>
    <w:rsid w:val="00A025BF"/>
    <w:rsid w:val="00A07CD7"/>
    <w:rsid w:val="00A11660"/>
    <w:rsid w:val="00A13852"/>
    <w:rsid w:val="00A13DBF"/>
    <w:rsid w:val="00A15D7E"/>
    <w:rsid w:val="00A22613"/>
    <w:rsid w:val="00A35DB3"/>
    <w:rsid w:val="00A35EE3"/>
    <w:rsid w:val="00A37A3C"/>
    <w:rsid w:val="00A4118B"/>
    <w:rsid w:val="00A52A62"/>
    <w:rsid w:val="00A539ED"/>
    <w:rsid w:val="00A55757"/>
    <w:rsid w:val="00A62608"/>
    <w:rsid w:val="00A65E60"/>
    <w:rsid w:val="00A661F6"/>
    <w:rsid w:val="00A7023E"/>
    <w:rsid w:val="00A71193"/>
    <w:rsid w:val="00A82A87"/>
    <w:rsid w:val="00A84647"/>
    <w:rsid w:val="00A849D4"/>
    <w:rsid w:val="00A9031F"/>
    <w:rsid w:val="00A96FB8"/>
    <w:rsid w:val="00AA3070"/>
    <w:rsid w:val="00AA67B2"/>
    <w:rsid w:val="00AB2BEB"/>
    <w:rsid w:val="00AB5955"/>
    <w:rsid w:val="00AC0B72"/>
    <w:rsid w:val="00AC1662"/>
    <w:rsid w:val="00AC27F9"/>
    <w:rsid w:val="00AD2EAF"/>
    <w:rsid w:val="00AD33C8"/>
    <w:rsid w:val="00AD6AA4"/>
    <w:rsid w:val="00AE353A"/>
    <w:rsid w:val="00AE5E91"/>
    <w:rsid w:val="00AF19E4"/>
    <w:rsid w:val="00AF497F"/>
    <w:rsid w:val="00AF61D8"/>
    <w:rsid w:val="00B04B3D"/>
    <w:rsid w:val="00B05AFA"/>
    <w:rsid w:val="00B11F58"/>
    <w:rsid w:val="00B21E03"/>
    <w:rsid w:val="00B317DC"/>
    <w:rsid w:val="00B3333F"/>
    <w:rsid w:val="00B34C40"/>
    <w:rsid w:val="00B45867"/>
    <w:rsid w:val="00B56E50"/>
    <w:rsid w:val="00B624D6"/>
    <w:rsid w:val="00B70F81"/>
    <w:rsid w:val="00B719EE"/>
    <w:rsid w:val="00B74096"/>
    <w:rsid w:val="00B75048"/>
    <w:rsid w:val="00B839DF"/>
    <w:rsid w:val="00B9091F"/>
    <w:rsid w:val="00B94864"/>
    <w:rsid w:val="00B95FB5"/>
    <w:rsid w:val="00BA299C"/>
    <w:rsid w:val="00BB6720"/>
    <w:rsid w:val="00BC6C5B"/>
    <w:rsid w:val="00BC7F35"/>
    <w:rsid w:val="00BD1C13"/>
    <w:rsid w:val="00BD2E50"/>
    <w:rsid w:val="00BD6A30"/>
    <w:rsid w:val="00BD7BD2"/>
    <w:rsid w:val="00BD7F7E"/>
    <w:rsid w:val="00BF19AE"/>
    <w:rsid w:val="00BF2AEF"/>
    <w:rsid w:val="00BF66E0"/>
    <w:rsid w:val="00C13F11"/>
    <w:rsid w:val="00C140EB"/>
    <w:rsid w:val="00C259DA"/>
    <w:rsid w:val="00C2652B"/>
    <w:rsid w:val="00C4018E"/>
    <w:rsid w:val="00C558CB"/>
    <w:rsid w:val="00C627B5"/>
    <w:rsid w:val="00C63DB3"/>
    <w:rsid w:val="00C93FEC"/>
    <w:rsid w:val="00C9584B"/>
    <w:rsid w:val="00C96248"/>
    <w:rsid w:val="00CA293F"/>
    <w:rsid w:val="00CB1A28"/>
    <w:rsid w:val="00CB46E0"/>
    <w:rsid w:val="00CD1096"/>
    <w:rsid w:val="00CE1E6D"/>
    <w:rsid w:val="00CE548A"/>
    <w:rsid w:val="00CF2249"/>
    <w:rsid w:val="00D00045"/>
    <w:rsid w:val="00D028EB"/>
    <w:rsid w:val="00D03051"/>
    <w:rsid w:val="00D034CF"/>
    <w:rsid w:val="00D053B6"/>
    <w:rsid w:val="00D054AE"/>
    <w:rsid w:val="00D15374"/>
    <w:rsid w:val="00D224A2"/>
    <w:rsid w:val="00D268AA"/>
    <w:rsid w:val="00D27BF5"/>
    <w:rsid w:val="00D30496"/>
    <w:rsid w:val="00D3278F"/>
    <w:rsid w:val="00D35AEF"/>
    <w:rsid w:val="00D36CBB"/>
    <w:rsid w:val="00D4319E"/>
    <w:rsid w:val="00D51962"/>
    <w:rsid w:val="00D57DA3"/>
    <w:rsid w:val="00D7471E"/>
    <w:rsid w:val="00D75063"/>
    <w:rsid w:val="00D769B9"/>
    <w:rsid w:val="00D9272C"/>
    <w:rsid w:val="00DB3DEE"/>
    <w:rsid w:val="00DC0B32"/>
    <w:rsid w:val="00DC246B"/>
    <w:rsid w:val="00DC4F33"/>
    <w:rsid w:val="00DE0652"/>
    <w:rsid w:val="00DE5AFE"/>
    <w:rsid w:val="00DE75A8"/>
    <w:rsid w:val="00DF7B64"/>
    <w:rsid w:val="00E109BD"/>
    <w:rsid w:val="00E3200A"/>
    <w:rsid w:val="00E32802"/>
    <w:rsid w:val="00E33300"/>
    <w:rsid w:val="00E4138C"/>
    <w:rsid w:val="00E45675"/>
    <w:rsid w:val="00E52056"/>
    <w:rsid w:val="00E53BCC"/>
    <w:rsid w:val="00E66956"/>
    <w:rsid w:val="00E70059"/>
    <w:rsid w:val="00E92EEE"/>
    <w:rsid w:val="00E955EB"/>
    <w:rsid w:val="00E95B03"/>
    <w:rsid w:val="00EA17FD"/>
    <w:rsid w:val="00EA7B50"/>
    <w:rsid w:val="00EB2401"/>
    <w:rsid w:val="00EB3B08"/>
    <w:rsid w:val="00EB6872"/>
    <w:rsid w:val="00EC12C0"/>
    <w:rsid w:val="00EC578A"/>
    <w:rsid w:val="00ED1FA3"/>
    <w:rsid w:val="00EE099D"/>
    <w:rsid w:val="00EE3DEE"/>
    <w:rsid w:val="00EE73E3"/>
    <w:rsid w:val="00EF74D9"/>
    <w:rsid w:val="00F235A5"/>
    <w:rsid w:val="00F25758"/>
    <w:rsid w:val="00F313CE"/>
    <w:rsid w:val="00F35455"/>
    <w:rsid w:val="00F506FA"/>
    <w:rsid w:val="00F663E8"/>
    <w:rsid w:val="00F676B5"/>
    <w:rsid w:val="00F7195C"/>
    <w:rsid w:val="00F73593"/>
    <w:rsid w:val="00F7445B"/>
    <w:rsid w:val="00F853C8"/>
    <w:rsid w:val="00F94103"/>
    <w:rsid w:val="00FA37A1"/>
    <w:rsid w:val="00FA4070"/>
    <w:rsid w:val="00FB2B0A"/>
    <w:rsid w:val="00FB6529"/>
    <w:rsid w:val="00FC1C7B"/>
    <w:rsid w:val="00FC4860"/>
    <w:rsid w:val="00FC5A19"/>
    <w:rsid w:val="00FD1AA5"/>
    <w:rsid w:val="00FE5FF3"/>
    <w:rsid w:val="017D5B5D"/>
    <w:rsid w:val="018964C4"/>
    <w:rsid w:val="018A546E"/>
    <w:rsid w:val="02501755"/>
    <w:rsid w:val="02D45F64"/>
    <w:rsid w:val="031D625E"/>
    <w:rsid w:val="04D37589"/>
    <w:rsid w:val="04F84D6A"/>
    <w:rsid w:val="090C355C"/>
    <w:rsid w:val="09725346"/>
    <w:rsid w:val="0B81694F"/>
    <w:rsid w:val="0BE35DAC"/>
    <w:rsid w:val="0CD9188B"/>
    <w:rsid w:val="0CF0144C"/>
    <w:rsid w:val="0D8D0F09"/>
    <w:rsid w:val="0ED46221"/>
    <w:rsid w:val="10036CD1"/>
    <w:rsid w:val="10713C95"/>
    <w:rsid w:val="10D05F7B"/>
    <w:rsid w:val="10D74B47"/>
    <w:rsid w:val="10D940D5"/>
    <w:rsid w:val="110E464B"/>
    <w:rsid w:val="1193257A"/>
    <w:rsid w:val="12350C8C"/>
    <w:rsid w:val="13040091"/>
    <w:rsid w:val="137813C5"/>
    <w:rsid w:val="13F00463"/>
    <w:rsid w:val="1597537E"/>
    <w:rsid w:val="160D169F"/>
    <w:rsid w:val="16351E52"/>
    <w:rsid w:val="17A445EA"/>
    <w:rsid w:val="1A152B13"/>
    <w:rsid w:val="1ACF1D70"/>
    <w:rsid w:val="1B2E4AB6"/>
    <w:rsid w:val="1BA05E19"/>
    <w:rsid w:val="1BC750D9"/>
    <w:rsid w:val="1BCA4DEA"/>
    <w:rsid w:val="1CBC0CA4"/>
    <w:rsid w:val="1D531285"/>
    <w:rsid w:val="1D7741F0"/>
    <w:rsid w:val="1DD95CC8"/>
    <w:rsid w:val="1DE00529"/>
    <w:rsid w:val="1EE149B9"/>
    <w:rsid w:val="1FCC23FD"/>
    <w:rsid w:val="20803CC9"/>
    <w:rsid w:val="20F843D4"/>
    <w:rsid w:val="213C67D0"/>
    <w:rsid w:val="22312968"/>
    <w:rsid w:val="23692225"/>
    <w:rsid w:val="23986BA8"/>
    <w:rsid w:val="23B1534D"/>
    <w:rsid w:val="247B3E83"/>
    <w:rsid w:val="24D112D4"/>
    <w:rsid w:val="280156F1"/>
    <w:rsid w:val="28BB5EEC"/>
    <w:rsid w:val="294B6A1B"/>
    <w:rsid w:val="29836736"/>
    <w:rsid w:val="2A3D1CDF"/>
    <w:rsid w:val="2C407176"/>
    <w:rsid w:val="2C43365D"/>
    <w:rsid w:val="2D4F6EFD"/>
    <w:rsid w:val="2DEF0837"/>
    <w:rsid w:val="2E2045B6"/>
    <w:rsid w:val="3057035C"/>
    <w:rsid w:val="319B4E07"/>
    <w:rsid w:val="32717D49"/>
    <w:rsid w:val="327A16BC"/>
    <w:rsid w:val="32E40F88"/>
    <w:rsid w:val="33EF560A"/>
    <w:rsid w:val="34D83195"/>
    <w:rsid w:val="35E1749E"/>
    <w:rsid w:val="36DE68E2"/>
    <w:rsid w:val="3725105B"/>
    <w:rsid w:val="374E11F5"/>
    <w:rsid w:val="378E6657"/>
    <w:rsid w:val="37AE4516"/>
    <w:rsid w:val="382C5A31"/>
    <w:rsid w:val="38466AA7"/>
    <w:rsid w:val="38CF4A13"/>
    <w:rsid w:val="38DC44C0"/>
    <w:rsid w:val="39450ECB"/>
    <w:rsid w:val="39B148FC"/>
    <w:rsid w:val="39C03593"/>
    <w:rsid w:val="39ED33C5"/>
    <w:rsid w:val="3B325DA4"/>
    <w:rsid w:val="3B413488"/>
    <w:rsid w:val="3CF9593B"/>
    <w:rsid w:val="3D5634AC"/>
    <w:rsid w:val="3DAC47F0"/>
    <w:rsid w:val="3EAF4F44"/>
    <w:rsid w:val="3F4312D4"/>
    <w:rsid w:val="40497C0B"/>
    <w:rsid w:val="412F4ADB"/>
    <w:rsid w:val="41972106"/>
    <w:rsid w:val="43026B0B"/>
    <w:rsid w:val="437255D6"/>
    <w:rsid w:val="4385378C"/>
    <w:rsid w:val="439472FC"/>
    <w:rsid w:val="43B72AD8"/>
    <w:rsid w:val="446934C7"/>
    <w:rsid w:val="44B87D04"/>
    <w:rsid w:val="45584756"/>
    <w:rsid w:val="45697FEB"/>
    <w:rsid w:val="45983DA9"/>
    <w:rsid w:val="45BE49A8"/>
    <w:rsid w:val="465F0511"/>
    <w:rsid w:val="46B773CF"/>
    <w:rsid w:val="47994953"/>
    <w:rsid w:val="47D63703"/>
    <w:rsid w:val="47F821C6"/>
    <w:rsid w:val="48696DC4"/>
    <w:rsid w:val="48F253F7"/>
    <w:rsid w:val="4B76442B"/>
    <w:rsid w:val="4DF300E3"/>
    <w:rsid w:val="4F1B0D3B"/>
    <w:rsid w:val="4F410D8B"/>
    <w:rsid w:val="4FD54BD7"/>
    <w:rsid w:val="4FF0731B"/>
    <w:rsid w:val="5037646C"/>
    <w:rsid w:val="50805A11"/>
    <w:rsid w:val="509E21A7"/>
    <w:rsid w:val="50FA37BE"/>
    <w:rsid w:val="51763488"/>
    <w:rsid w:val="51AB1AE9"/>
    <w:rsid w:val="52597853"/>
    <w:rsid w:val="5278477C"/>
    <w:rsid w:val="5293068B"/>
    <w:rsid w:val="52CE1DAA"/>
    <w:rsid w:val="53612411"/>
    <w:rsid w:val="54246E44"/>
    <w:rsid w:val="542D76C3"/>
    <w:rsid w:val="558013AA"/>
    <w:rsid w:val="58854A82"/>
    <w:rsid w:val="59616A57"/>
    <w:rsid w:val="59C20618"/>
    <w:rsid w:val="59F936FF"/>
    <w:rsid w:val="5AE433A0"/>
    <w:rsid w:val="5B392306"/>
    <w:rsid w:val="5B673FCA"/>
    <w:rsid w:val="5B796234"/>
    <w:rsid w:val="5C781F43"/>
    <w:rsid w:val="5D370333"/>
    <w:rsid w:val="5E0B52B6"/>
    <w:rsid w:val="5E390074"/>
    <w:rsid w:val="5EB77CAA"/>
    <w:rsid w:val="60F872D1"/>
    <w:rsid w:val="61A80B65"/>
    <w:rsid w:val="62D857E5"/>
    <w:rsid w:val="64C55943"/>
    <w:rsid w:val="65073893"/>
    <w:rsid w:val="66341CC4"/>
    <w:rsid w:val="664D33E7"/>
    <w:rsid w:val="666B39D5"/>
    <w:rsid w:val="677238A4"/>
    <w:rsid w:val="68653982"/>
    <w:rsid w:val="68B520B8"/>
    <w:rsid w:val="68BC3135"/>
    <w:rsid w:val="69D5253C"/>
    <w:rsid w:val="6B44366A"/>
    <w:rsid w:val="6B6F018F"/>
    <w:rsid w:val="6BEC2F14"/>
    <w:rsid w:val="6CC6022B"/>
    <w:rsid w:val="6D563152"/>
    <w:rsid w:val="6F775864"/>
    <w:rsid w:val="6F9248F7"/>
    <w:rsid w:val="6FC9318C"/>
    <w:rsid w:val="70DC412C"/>
    <w:rsid w:val="71327FEE"/>
    <w:rsid w:val="72143475"/>
    <w:rsid w:val="72CB7215"/>
    <w:rsid w:val="730E4A21"/>
    <w:rsid w:val="734D342D"/>
    <w:rsid w:val="736A1C22"/>
    <w:rsid w:val="74247E87"/>
    <w:rsid w:val="74895648"/>
    <w:rsid w:val="749E2D88"/>
    <w:rsid w:val="74AE3AD6"/>
    <w:rsid w:val="756B4633"/>
    <w:rsid w:val="76783D7F"/>
    <w:rsid w:val="76B75890"/>
    <w:rsid w:val="77CA6CAD"/>
    <w:rsid w:val="78350136"/>
    <w:rsid w:val="79685A0B"/>
    <w:rsid w:val="7B1260CC"/>
    <w:rsid w:val="7B5573A2"/>
    <w:rsid w:val="7C756B24"/>
    <w:rsid w:val="7D512EED"/>
    <w:rsid w:val="7DED1B13"/>
    <w:rsid w:val="7F4A52A1"/>
    <w:rsid w:val="7F5B6B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rPr>
      <w:sz w:val="24"/>
    </w:rPr>
  </w:style>
  <w:style w:type="character" w:customStyle="1" w:styleId="8">
    <w:name w:val="title_td1"/>
    <w:basedOn w:val="7"/>
    <w:autoRedefine/>
    <w:qFormat/>
    <w:uiPriority w:val="0"/>
    <w:rPr>
      <w:rFonts w:hint="default" w:ascii="Tahoma" w:hAnsi="Tahoma" w:cs="Tahoma"/>
      <w:b/>
      <w:bCs/>
      <w:color w:val="FF2200"/>
      <w:sz w:val="20"/>
      <w:szCs w:val="20"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6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chart" Target="charts/chart7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D:\Work\&#32479;&#35745;&#20844;&#25253;\2021\2021&#24180;&#20844;&#25253;&#29992;&#34920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../embeddings/oleObject1.bin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D:\Work\&#32479;&#35745;&#20844;&#25253;\2022&#24180;&#20844;&#25253;&#29992;&#34920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Work\&#32479;&#35745;&#20844;&#25253;\2022&#24180;&#20844;&#25253;&#29992;&#34920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D:\Work\&#32479;&#35745;&#20844;&#25253;\2022&#24180;&#20844;&#25253;&#29992;&#34920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themeOverride" Target="../theme/themeOverride1.xml"/><Relationship Id="rId1" Type="http://schemas.openxmlformats.org/officeDocument/2006/relationships/oleObject" Target="file:///D:\Work\&#32479;&#35745;&#20844;&#25253;\2022&#24180;&#20844;&#25253;&#29992;&#34920;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D:\Work\&#32479;&#35745;&#20844;&#25253;\2022&#24180;&#20844;&#25253;&#29992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7919147099442"/>
          <c:y val="0.143773495305752"/>
          <c:w val="0.817315020331398"/>
          <c:h val="0.760787786612248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0.00192631832410306"/>
                  <c:y val="0.024528301886792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140056022408964"/>
                  <c:y val="-0.019249806189993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140056022408964"/>
                  <c:y val="0.0073170731707316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[2021年公报用表.xlsx]Sheet1!$J$12:$J$17</c:f>
              <c:strCache>
                <c:ptCount val="6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  <c:pt idx="5">
                  <c:v>2023年</c:v>
                </c:pt>
              </c:strCache>
            </c:strRef>
          </c:cat>
          <c:val>
            <c:numRef>
              <c:f>[2021年公报用表.xlsx]Sheet1!$K$12:$K$17</c:f>
              <c:numCache>
                <c:formatCode>General</c:formatCode>
                <c:ptCount val="6"/>
                <c:pt idx="0">
                  <c:v>3159112</c:v>
                </c:pt>
                <c:pt idx="1">
                  <c:v>3384084</c:v>
                </c:pt>
                <c:pt idx="2">
                  <c:v>3524822</c:v>
                </c:pt>
                <c:pt idx="3">
                  <c:v>4207112</c:v>
                </c:pt>
                <c:pt idx="4">
                  <c:v>4252681</c:v>
                </c:pt>
                <c:pt idx="5">
                  <c:v>4310082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8279168"/>
        <c:axId val="158280704"/>
      </c:barChart>
      <c:lineChart>
        <c:grouping val="standard"/>
        <c:varyColors val="0"/>
        <c:ser>
          <c:idx val="1"/>
          <c:order val="1"/>
          <c:dLbls>
            <c:dLbl>
              <c:idx val="0"/>
              <c:layout>
                <c:manualLayout>
                  <c:x val="-0.0360360300212344"/>
                  <c:y val="0.055419722901385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360360300212344"/>
                  <c:y val="-0.03911980440097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364145658263305"/>
                  <c:y val="0.11951219512195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458021647736515"/>
                  <c:y val="0.016906195956825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790314613838977"/>
                  <c:y val="0.0029770417185649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[2021年公报用表.xlsx]Sheet1!$J$12:$J$17</c:f>
              <c:strCache>
                <c:ptCount val="6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  <c:pt idx="5">
                  <c:v>2023年</c:v>
                </c:pt>
              </c:strCache>
            </c:strRef>
          </c:cat>
          <c:val>
            <c:numRef>
              <c:f>[2021年公报用表.xlsx]Sheet1!$L$12:$L$17</c:f>
              <c:numCache>
                <c:formatCode>0.0_ </c:formatCode>
                <c:ptCount val="6"/>
                <c:pt idx="0">
                  <c:v>14.4</c:v>
                </c:pt>
                <c:pt idx="1" c:formatCode="General">
                  <c:v>7.6</c:v>
                </c:pt>
                <c:pt idx="2" c:formatCode="General">
                  <c:v>6.1</c:v>
                </c:pt>
                <c:pt idx="3">
                  <c:v>8</c:v>
                </c:pt>
                <c:pt idx="4" c:formatCode="General">
                  <c:v>-2.1</c:v>
                </c:pt>
                <c:pt idx="5" c:formatCode="General">
                  <c:v>3.5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78542848"/>
        <c:axId val="178541312"/>
      </c:lineChart>
      <c:catAx>
        <c:axId val="158279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58280704"/>
        <c:crosses val="autoZero"/>
        <c:auto val="1"/>
        <c:lblAlgn val="ctr"/>
        <c:lblOffset val="100"/>
        <c:noMultiLvlLbl val="0"/>
      </c:catAx>
      <c:valAx>
        <c:axId val="158280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58279168"/>
        <c:crosses val="autoZero"/>
        <c:crossBetween val="between"/>
      </c:valAx>
      <c:catAx>
        <c:axId val="1785428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78541312"/>
        <c:crosses val="autoZero"/>
        <c:auto val="1"/>
        <c:lblAlgn val="ctr"/>
        <c:lblOffset val="100"/>
        <c:noMultiLvlLbl val="0"/>
      </c:catAx>
      <c:valAx>
        <c:axId val="178541312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78542848"/>
        <c:crosses val="max"/>
        <c:crossBetween val="between"/>
      </c:valAx>
    </c:plotArea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7919147099442"/>
          <c:y val="0.143773495305752"/>
          <c:w val="0.817315020331398"/>
          <c:h val="0.760787786612248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2"/>
              <c:layout>
                <c:manualLayout>
                  <c:x val="0"/>
                  <c:y val="0.010018308687023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143106188297616"/>
                  <c:y val="0.014634146341463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[2021年公报用表.xlsx]Sheet1!$K$41:$K$46</c:f>
              <c:strCache>
                <c:ptCount val="6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  <c:pt idx="5">
                  <c:v>2023年</c:v>
                </c:pt>
              </c:strCache>
            </c:strRef>
          </c:cat>
          <c:val>
            <c:numRef>
              <c:f>[2021年公报用表.xlsx]Sheet1!$L$41:$L$46</c:f>
              <c:numCache>
                <c:formatCode>General</c:formatCode>
                <c:ptCount val="6"/>
                <c:pt idx="0">
                  <c:v>82898</c:v>
                </c:pt>
                <c:pt idx="1">
                  <c:v>94848</c:v>
                </c:pt>
                <c:pt idx="2">
                  <c:v>95058</c:v>
                </c:pt>
                <c:pt idx="3">
                  <c:v>140243</c:v>
                </c:pt>
                <c:pt idx="4">
                  <c:v>157617</c:v>
                </c:pt>
                <c:pt idx="5">
                  <c:v>169358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8610560"/>
        <c:axId val="178612096"/>
      </c:barChart>
      <c:lineChart>
        <c:grouping val="standard"/>
        <c:varyColors val="0"/>
        <c:ser>
          <c:idx val="1"/>
          <c:order val="1"/>
          <c:dLbls>
            <c:dLbl>
              <c:idx val="0"/>
              <c:layout>
                <c:manualLayout>
                  <c:x val="0.00911205569993102"/>
                  <c:y val="0.036921594735783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446167429167666"/>
                  <c:y val="-0.009967182472969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141686413007015"/>
                  <c:y val="-0.048148652672283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359681957137544"/>
                  <c:y val="-0.036585365853658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100752148619825"/>
                  <c:y val="-0.048199803044147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366617958847581"/>
                  <c:y val="0.00401630399827321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2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7.</a:t>
                    </a:r>
                    <a:r>
                      <a:rPr lang="en-US" altLang="zh-CN"/>
                      <a:t>4</a:t>
                    </a:r>
                    <a:endParaRPr lang="en-US" altLang="zh-CN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[2021年公报用表.xlsx]Sheet1!$K$41:$K$46</c:f>
              <c:strCache>
                <c:ptCount val="6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  <c:pt idx="5">
                  <c:v>2023年</c:v>
                </c:pt>
              </c:strCache>
            </c:strRef>
          </c:cat>
          <c:val>
            <c:numRef>
              <c:f>[2021年公报用表.xlsx]Sheet1!$M$41:$M$46</c:f>
              <c:numCache>
                <c:formatCode>General</c:formatCode>
                <c:ptCount val="6"/>
                <c:pt idx="0">
                  <c:v>10.5</c:v>
                </c:pt>
                <c:pt idx="1">
                  <c:v>14.4</c:v>
                </c:pt>
                <c:pt idx="2">
                  <c:v>0.2</c:v>
                </c:pt>
                <c:pt idx="3">
                  <c:v>47.5</c:v>
                </c:pt>
                <c:pt idx="4">
                  <c:v>12.4</c:v>
                </c:pt>
                <c:pt idx="5">
                  <c:v>7.5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78623616"/>
        <c:axId val="178613632"/>
      </c:lineChart>
      <c:catAx>
        <c:axId val="178610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78612096"/>
        <c:crosses val="autoZero"/>
        <c:auto val="1"/>
        <c:lblAlgn val="ctr"/>
        <c:lblOffset val="100"/>
        <c:noMultiLvlLbl val="0"/>
      </c:catAx>
      <c:valAx>
        <c:axId val="178612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78610560"/>
        <c:crosses val="autoZero"/>
        <c:crossBetween val="between"/>
      </c:valAx>
      <c:catAx>
        <c:axId val="1786236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78613632"/>
        <c:crosses val="autoZero"/>
        <c:auto val="1"/>
        <c:lblAlgn val="ctr"/>
        <c:lblOffset val="100"/>
        <c:noMultiLvlLbl val="0"/>
      </c:catAx>
      <c:valAx>
        <c:axId val="178613632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78623616"/>
        <c:crosses val="max"/>
        <c:crossBetween val="between"/>
      </c:valAx>
    </c:plotArea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6182852143482"/>
          <c:y val="0.168298702245553"/>
          <c:w val="0.876456036745407"/>
          <c:h val="0.78608778069408"/>
        </c:manualLayout>
      </c:layout>
      <c:lineChart>
        <c:grouping val="standard"/>
        <c:varyColors val="0"/>
        <c:ser>
          <c:idx val="0"/>
          <c:order val="0"/>
          <c:dLbls>
            <c:dLbl>
              <c:idx val="2"/>
              <c:layout>
                <c:manualLayout>
                  <c:x val="-0.0249999999999999"/>
                  <c:y val="-0.041666666666666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509279892395407"/>
                  <c:y val="-0.051594980097302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455935985973924"/>
                  <c:y val="0.055420413779546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[2022年公报用表.xlsx]Sheet1!$K$65:$K$70</c:f>
              <c:strCache>
                <c:ptCount val="6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  <c:pt idx="5">
                  <c:v>2023年</c:v>
                </c:pt>
              </c:strCache>
            </c:strRef>
          </c:cat>
          <c:val>
            <c:numRef>
              <c:f>[2022年公报用表.xlsx]Sheet1!$L$65:$L$70</c:f>
              <c:numCache>
                <c:formatCode>0.0_ </c:formatCode>
                <c:ptCount val="6"/>
                <c:pt idx="0">
                  <c:v>18.8</c:v>
                </c:pt>
                <c:pt idx="1" c:formatCode="General">
                  <c:v>6.3</c:v>
                </c:pt>
                <c:pt idx="2" c:formatCode="General">
                  <c:v>2.1</c:v>
                </c:pt>
                <c:pt idx="3">
                  <c:v>9</c:v>
                </c:pt>
                <c:pt idx="4" c:formatCode="General">
                  <c:v>14.5</c:v>
                </c:pt>
                <c:pt idx="5" c:formatCode="General">
                  <c:v>3.9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55697280"/>
        <c:axId val="255698816"/>
      </c:lineChart>
      <c:catAx>
        <c:axId val="25569728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55698816"/>
        <c:crosses val="autoZero"/>
        <c:auto val="1"/>
        <c:lblAlgn val="ctr"/>
        <c:lblOffset val="100"/>
        <c:noMultiLvlLbl val="0"/>
      </c:catAx>
      <c:valAx>
        <c:axId val="255698816"/>
        <c:scaling>
          <c:orientation val="minMax"/>
        </c:scaling>
        <c:delete val="0"/>
        <c:axPos val="l"/>
        <c:majorGridlines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5569728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7919147099442"/>
          <c:y val="0.143773495305752"/>
          <c:w val="0.817315020331398"/>
          <c:h val="0.760787786612248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2"/>
              <c:layout>
                <c:manualLayout>
                  <c:x val="0"/>
                  <c:y val="0.010018308687023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[2022年公报用表.xlsx]Sheet1!$K$85:$K$90</c:f>
              <c:strCache>
                <c:ptCount val="6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  <c:pt idx="5">
                  <c:v>2023年</c:v>
                </c:pt>
              </c:strCache>
            </c:strRef>
          </c:cat>
          <c:val>
            <c:numRef>
              <c:f>[2022年公报用表.xlsx]Sheet1!$L$85:$L$90</c:f>
              <c:numCache>
                <c:formatCode>General</c:formatCode>
                <c:ptCount val="6"/>
                <c:pt idx="0">
                  <c:v>240.6</c:v>
                </c:pt>
                <c:pt idx="1">
                  <c:v>260.8</c:v>
                </c:pt>
                <c:pt idx="2">
                  <c:v>283.5</c:v>
                </c:pt>
                <c:pt idx="3">
                  <c:v>322.2</c:v>
                </c:pt>
                <c:pt idx="4">
                  <c:v>285.3</c:v>
                </c:pt>
                <c:pt idx="5">
                  <c:v>309.1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8483200"/>
        <c:axId val="178484736"/>
      </c:barChart>
      <c:lineChart>
        <c:grouping val="standard"/>
        <c:varyColors val="0"/>
        <c:ser>
          <c:idx val="1"/>
          <c:order val="1"/>
          <c:dLbls>
            <c:dLbl>
              <c:idx val="0"/>
              <c:layout>
                <c:manualLayout>
                  <c:x val="-0.0360360300212344"/>
                  <c:y val="0.055419722901385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360360300212344"/>
                  <c:y val="-0.03911980440097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0955323464143702"/>
                  <c:y val="0.057058934830205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100752148619825"/>
                  <c:y val="-0.010092461543602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17485879172741"/>
                  <c:y val="0.044556423559345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[2022年公报用表.xlsx]Sheet1!$K$85:$K$90</c:f>
              <c:strCache>
                <c:ptCount val="6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  <c:pt idx="5">
                  <c:v>2023年</c:v>
                </c:pt>
              </c:strCache>
            </c:strRef>
          </c:cat>
          <c:val>
            <c:numRef>
              <c:f>[2022年公报用表.xlsx]Sheet1!$M$85:$M$90</c:f>
              <c:numCache>
                <c:formatCode>0.0_ </c:formatCode>
                <c:ptCount val="6"/>
                <c:pt idx="0">
                  <c:v>10</c:v>
                </c:pt>
                <c:pt idx="1" c:formatCode="General">
                  <c:v>8.4</c:v>
                </c:pt>
                <c:pt idx="2" c:formatCode="General">
                  <c:v>0.4</c:v>
                </c:pt>
                <c:pt idx="3" c:formatCode="General">
                  <c:v>13.6</c:v>
                </c:pt>
                <c:pt idx="4" c:formatCode="General">
                  <c:v>-1.1</c:v>
                </c:pt>
                <c:pt idx="5" c:formatCode="General">
                  <c:v>8.4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78488064"/>
        <c:axId val="178486272"/>
      </c:lineChart>
      <c:catAx>
        <c:axId val="1784832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78484736"/>
        <c:crosses val="autoZero"/>
        <c:auto val="1"/>
        <c:lblAlgn val="ctr"/>
        <c:lblOffset val="100"/>
        <c:noMultiLvlLbl val="0"/>
      </c:catAx>
      <c:valAx>
        <c:axId val="178484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78483200"/>
        <c:crosses val="autoZero"/>
        <c:crossBetween val="between"/>
      </c:valAx>
      <c:catAx>
        <c:axId val="1784880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78486272"/>
        <c:crosses val="autoZero"/>
        <c:auto val="1"/>
        <c:lblAlgn val="ctr"/>
        <c:lblOffset val="100"/>
        <c:noMultiLvlLbl val="0"/>
      </c:catAx>
      <c:valAx>
        <c:axId val="178486272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78488064"/>
        <c:crosses val="max"/>
        <c:crossBetween val="between"/>
      </c:valAx>
    </c:plotArea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7919147099442"/>
          <c:y val="0.143773495305752"/>
          <c:w val="0.817315020331398"/>
          <c:h val="0.760787786612248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2"/>
              <c:layout>
                <c:manualLayout>
                  <c:x val="0"/>
                  <c:y val="0.010018308687023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0.023891519586741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2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392.</a:t>
                    </a:r>
                    <a:r>
                      <a:rPr lang="en-US" altLang="zh-CN"/>
                      <a:t>7</a:t>
                    </a:r>
                    <a:endParaRPr lang="en-US" altLang="zh-CN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[2022年公报用表.xlsx]Sheet1!$K$162:$K$167</c:f>
              <c:strCache>
                <c:ptCount val="6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  <c:pt idx="5">
                  <c:v>2023年</c:v>
                </c:pt>
              </c:strCache>
            </c:strRef>
          </c:cat>
          <c:val>
            <c:numRef>
              <c:f>[2022年公报用表.xlsx]Sheet1!$L$162:$L$167</c:f>
              <c:numCache>
                <c:formatCode>General</c:formatCode>
                <c:ptCount val="6"/>
                <c:pt idx="0">
                  <c:v>208.8</c:v>
                </c:pt>
                <c:pt idx="1">
                  <c:v>236.1</c:v>
                </c:pt>
                <c:pt idx="2">
                  <c:v>250.9</c:v>
                </c:pt>
                <c:pt idx="3">
                  <c:v>287.1</c:v>
                </c:pt>
                <c:pt idx="4">
                  <c:v>316.6</c:v>
                </c:pt>
                <c:pt idx="5">
                  <c:v>392.6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57508480"/>
        <c:axId val="257855488"/>
      </c:barChart>
      <c:lineChart>
        <c:grouping val="standard"/>
        <c:varyColors val="0"/>
        <c:ser>
          <c:idx val="1"/>
          <c:order val="1"/>
          <c:dLbls>
            <c:dLbl>
              <c:idx val="0"/>
              <c:layout>
                <c:manualLayout>
                  <c:x val="-0.0360360300212345"/>
                  <c:y val="0.084688015584312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361111111111111"/>
                  <c:y val="0.16585365853658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390324066300361"/>
                  <c:y val="0.099904487548812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374116101129837"/>
                  <c:y val="-0.044432661717921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318693633545677"/>
                  <c:y val="0.060808634981215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326002409375161"/>
                  <c:y val="0.046995447949589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[2022年公报用表.xlsx]Sheet1!$K$162:$K$167</c:f>
              <c:strCache>
                <c:ptCount val="6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  <c:pt idx="5">
                  <c:v>2023年</c:v>
                </c:pt>
              </c:strCache>
            </c:strRef>
          </c:cat>
          <c:val>
            <c:numRef>
              <c:f>[2022年公报用表.xlsx]Sheet1!$M$162:$M$167</c:f>
              <c:numCache>
                <c:formatCode>General</c:formatCode>
                <c:ptCount val="6"/>
                <c:pt idx="0">
                  <c:v>10.7</c:v>
                </c:pt>
                <c:pt idx="1">
                  <c:v>6.7</c:v>
                </c:pt>
                <c:pt idx="2">
                  <c:v>4.2</c:v>
                </c:pt>
                <c:pt idx="3">
                  <c:v>9.5</c:v>
                </c:pt>
                <c:pt idx="4">
                  <c:v>2.6</c:v>
                </c:pt>
                <c:pt idx="5">
                  <c:v>4.9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57858560"/>
        <c:axId val="257857024"/>
      </c:lineChart>
      <c:catAx>
        <c:axId val="2575084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57855488"/>
        <c:crosses val="autoZero"/>
        <c:auto val="1"/>
        <c:lblAlgn val="ctr"/>
        <c:lblOffset val="100"/>
        <c:noMultiLvlLbl val="0"/>
      </c:catAx>
      <c:valAx>
        <c:axId val="257855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57508480"/>
        <c:crosses val="autoZero"/>
        <c:crossBetween val="between"/>
      </c:valAx>
      <c:catAx>
        <c:axId val="2578585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57857024"/>
        <c:crosses val="autoZero"/>
        <c:auto val="1"/>
        <c:lblAlgn val="ctr"/>
        <c:lblOffset val="100"/>
        <c:noMultiLvlLbl val="0"/>
      </c:catAx>
      <c:valAx>
        <c:axId val="257857024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57858560"/>
        <c:crosses val="max"/>
        <c:crossBetween val="between"/>
      </c:valAx>
    </c:plotArea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7919147099442"/>
          <c:y val="0.143773495305752"/>
          <c:w val="0.817315020331398"/>
          <c:h val="0.760787786612248"/>
        </c:manualLayout>
      </c:layout>
      <c:lineChart>
        <c:grouping val="standard"/>
        <c:varyColors val="0"/>
        <c:ser>
          <c:idx val="1"/>
          <c:order val="0"/>
          <c:spPr>
            <a:ln w="28575" cap="rnd" cmpd="sng" algn="ctr">
              <a:solidFill>
                <a:srgbClr val="0070C0"/>
              </a:solidFill>
              <a:prstDash val="solid"/>
              <a:round/>
            </a:ln>
          </c:spPr>
          <c:marker>
            <c:spPr>
              <a:solidFill>
                <a:srgbClr val="0070C0"/>
              </a:solidFill>
              <a:ln w="9525" cap="flat" cmpd="sng" algn="ctr">
                <a:solidFill>
                  <a:srgbClr val="0070C0"/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-0.0360360300212345"/>
                  <c:y val="0.055419722901385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360360300212344"/>
                  <c:y val="-0.03911980440097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466348623804209"/>
                  <c:y val="0.058536585365853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346471411323455"/>
                  <c:y val="0.063247659371459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381557964930717"/>
                  <c:y val="-0.065199674001630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[2022年公报用表.xlsx]Sheet1!$K$112:$K$117</c:f>
              <c:strCache>
                <c:ptCount val="6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  <c:pt idx="5">
                  <c:v>2023年</c:v>
                </c:pt>
              </c:strCache>
            </c:strRef>
          </c:cat>
          <c:val>
            <c:numRef>
              <c:f>[2022年公报用表.xlsx]Sheet1!$M$112:$M$117</c:f>
              <c:numCache>
                <c:formatCode>General</c:formatCode>
                <c:ptCount val="6"/>
                <c:pt idx="0">
                  <c:v>10.3</c:v>
                </c:pt>
                <c:pt idx="1">
                  <c:v>14.2</c:v>
                </c:pt>
                <c:pt idx="2">
                  <c:v>2.6</c:v>
                </c:pt>
                <c:pt idx="3">
                  <c:v>7.2</c:v>
                </c:pt>
                <c:pt idx="4" c:formatCode="0.0_ ">
                  <c:v>-5</c:v>
                </c:pt>
                <c:pt idx="5">
                  <c:v>7.1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78514176"/>
        <c:axId val="255864832"/>
      </c:lineChart>
      <c:catAx>
        <c:axId val="1785141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255864832"/>
        <c:crosses val="autoZero"/>
        <c:auto val="1"/>
        <c:lblAlgn val="ctr"/>
        <c:lblOffset val="100"/>
        <c:noMultiLvlLbl val="0"/>
      </c:catAx>
      <c:valAx>
        <c:axId val="255864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17851417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7919147099442"/>
          <c:y val="0.143773495305752"/>
          <c:w val="0.817315020331398"/>
          <c:h val="0.760787786612248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2"/>
              <c:layout>
                <c:manualLayout>
                  <c:x val="0"/>
                  <c:y val="0.010018308687023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301023479831427"/>
                  <c:y val="-0.040707964601769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020469596628537"/>
                  <c:y val="0.034955752212389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[2022年公报用表.xlsx]Sheet1!$K$138:$K$143</c:f>
              <c:strCache>
                <c:ptCount val="6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  <c:pt idx="5">
                  <c:v>2023年</c:v>
                </c:pt>
              </c:strCache>
            </c:strRef>
          </c:cat>
          <c:val>
            <c:numRef>
              <c:f>[2022年公报用表.xlsx]Sheet1!$L$138:$L$143</c:f>
              <c:numCache>
                <c:formatCode>General</c:formatCode>
                <c:ptCount val="6"/>
                <c:pt idx="0">
                  <c:v>34350</c:v>
                </c:pt>
                <c:pt idx="1">
                  <c:v>37023</c:v>
                </c:pt>
                <c:pt idx="2">
                  <c:v>38780</c:v>
                </c:pt>
                <c:pt idx="3">
                  <c:v>41588</c:v>
                </c:pt>
                <c:pt idx="4">
                  <c:v>44195</c:v>
                </c:pt>
                <c:pt idx="5">
                  <c:v>46385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57508480"/>
        <c:axId val="257855488"/>
      </c:barChart>
      <c:lineChart>
        <c:grouping val="standard"/>
        <c:varyColors val="0"/>
        <c:ser>
          <c:idx val="1"/>
          <c:order val="1"/>
          <c:dLbls>
            <c:dLbl>
              <c:idx val="0"/>
              <c:layout>
                <c:manualLayout>
                  <c:x val="-0.0561443984739738"/>
                  <c:y val="-0.051816409194448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411683055722791"/>
                  <c:y val="-0.057376429958990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390324066300361"/>
                  <c:y val="0.099904487548812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424681957137542"/>
                  <c:y val="0.15121951219512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318693633545677"/>
                  <c:y val="0.060808634981215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326002409375161"/>
                  <c:y val="0.046995447949589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[2022年公报用表.xlsx]Sheet1!$K$138:$K$143</c:f>
              <c:strCache>
                <c:ptCount val="6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  <c:pt idx="5">
                  <c:v>2023年</c:v>
                </c:pt>
              </c:strCache>
            </c:strRef>
          </c:cat>
          <c:val>
            <c:numRef>
              <c:f>[2022年公报用表.xlsx]Sheet1!$M$138:$M$143</c:f>
              <c:numCache>
                <c:formatCode>General</c:formatCode>
                <c:ptCount val="6"/>
                <c:pt idx="0">
                  <c:v>6.9</c:v>
                </c:pt>
                <c:pt idx="1">
                  <c:v>7.8</c:v>
                </c:pt>
                <c:pt idx="2">
                  <c:v>4.7</c:v>
                </c:pt>
                <c:pt idx="3">
                  <c:v>7.2</c:v>
                </c:pt>
                <c:pt idx="4">
                  <c:v>6.3</c:v>
                </c:pt>
                <c:pt idx="5" c:formatCode="0.0_ ">
                  <c:v>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57858560"/>
        <c:axId val="257857024"/>
      </c:lineChart>
      <c:catAx>
        <c:axId val="25750848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57855488"/>
        <c:crosses val="autoZero"/>
        <c:auto val="1"/>
        <c:lblAlgn val="ctr"/>
        <c:lblOffset val="100"/>
        <c:noMultiLvlLbl val="0"/>
      </c:catAx>
      <c:valAx>
        <c:axId val="257855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57508480"/>
        <c:crosses val="autoZero"/>
        <c:crossBetween val="between"/>
      </c:valAx>
      <c:catAx>
        <c:axId val="257858560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57857024"/>
        <c:crosses val="autoZero"/>
        <c:auto val="1"/>
        <c:lblAlgn val="ctr"/>
        <c:lblOffset val="100"/>
        <c:noMultiLvlLbl val="0"/>
      </c:catAx>
      <c:valAx>
        <c:axId val="257857024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57858560"/>
        <c:crosses val="max"/>
        <c:crossBetween val="between"/>
      </c:valAx>
    </c:plotArea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  <c:userShapes r:id="rId2"/>
</c:chartSpace>
</file>

<file path=word/drawings/_rels/drawing4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0.10175</cdr:x>
      <cdr:y>0.022</cdr:y>
    </cdr:from>
    <cdr:to>
      <cdr:x>0.24642</cdr:x>
      <cdr:y>0.10758</cdr:y>
    </cdr:to>
    <cdr:sp>
      <cdr:nvSpPr>
        <cdr:cNvPr id="2" name="矩形 1"/>
        <cdr:cNvSpPr/>
      </cdr:nvSpPr>
      <cdr:spPr xmlns:a="http://schemas.openxmlformats.org/drawingml/2006/main">
        <a:xfrm xmlns:a="http://schemas.openxmlformats.org/drawingml/2006/main">
          <a:off x="609600" y="85725"/>
          <a:ext cx="866775" cy="333375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="horz" wrap="square" lIns="45720" tIns="45720" rIns="45720" bIns="45720" rtlCol="0" anchor="t" anchorCtr="0">
          <a:normAutofit/>
        </a:bodyPr>
        <a:lstStyle/>
        <a:p>
          <a:endParaRPr lang="zh-CN" altLang="en-US" sz="1100"/>
        </a:p>
      </cdr:txBody>
    </cdr:sp>
  </cdr:relSizeAnchor>
  <cdr:relSizeAnchor xmlns:cdr="http://schemas.openxmlformats.org/drawingml/2006/chartDrawing">
    <cdr:from>
      <cdr:x>0.09539</cdr:x>
      <cdr:y>0.02445</cdr:y>
    </cdr:from>
    <cdr:to>
      <cdr:x>0.31002</cdr:x>
      <cdr:y>0.10269</cdr:y>
    </cdr:to>
    <cdr:sp>
      <cdr:nvSpPr>
        <cdr:cNvPr id="3" name="矩形 2"/>
        <cdr:cNvSpPr/>
      </cdr:nvSpPr>
      <cdr:spPr xmlns:a="http://schemas.openxmlformats.org/drawingml/2006/main">
        <a:xfrm xmlns:a="http://schemas.openxmlformats.org/drawingml/2006/main">
          <a:off x="571500" y="95250"/>
          <a:ext cx="1285875" cy="304800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="horz" wrap="square" lIns="45720" tIns="45720" rIns="45720" bIns="45720" rtlCol="0" anchor="t" anchorCtr="0">
          <a:normAutofit/>
        </a:bodyPr>
        <a:lstStyle/>
        <a:p>
          <a:r>
            <a:rPr lang="zh-CN" altLang="en-US" sz="1100"/>
            <a:t>亿元</a:t>
          </a:r>
          <a:endParaRPr lang="zh-CN" altLang="en-US" sz="1100"/>
        </a:p>
      </cdr:txBody>
    </cdr:sp>
  </cdr:relSizeAnchor>
  <cdr:relSizeAnchor xmlns:cdr="http://schemas.openxmlformats.org/drawingml/2006/chartDrawing">
    <cdr:from>
      <cdr:x>0.85374</cdr:x>
      <cdr:y>0.02689</cdr:y>
    </cdr:from>
    <cdr:to>
      <cdr:x>0.93482</cdr:x>
      <cdr:y>0.09535</cdr:y>
    </cdr:to>
    <cdr:sp>
      <cdr:nvSpPr>
        <cdr:cNvPr id="4" name="矩形 3"/>
        <cdr:cNvSpPr/>
      </cdr:nvSpPr>
      <cdr:spPr xmlns:a="http://schemas.openxmlformats.org/drawingml/2006/main">
        <a:xfrm xmlns:a="http://schemas.openxmlformats.org/drawingml/2006/main">
          <a:off x="5114926" y="104775"/>
          <a:ext cx="485775" cy="266700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="horz" wrap="square" lIns="45720" tIns="45720" rIns="45720" bIns="45720" rtlCol="0" anchor="t" anchorCtr="0">
          <a:normAutofit/>
        </a:bodyPr>
        <a:lstStyle/>
        <a:p>
          <a:r>
            <a:rPr lang="en-US" altLang="zh-CN" sz="1100"/>
            <a:t>%</a:t>
          </a:r>
          <a:endParaRPr lang="zh-CN" altLang="en-US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0.10175</cdr:x>
      <cdr:y>0.022</cdr:y>
    </cdr:from>
    <cdr:to>
      <cdr:x>0.24642</cdr:x>
      <cdr:y>0.10758</cdr:y>
    </cdr:to>
    <cdr:sp>
      <cdr:nvSpPr>
        <cdr:cNvPr id="2" name="矩形 1"/>
        <cdr:cNvSpPr/>
      </cdr:nvSpPr>
      <cdr:spPr xmlns:a="http://schemas.openxmlformats.org/drawingml/2006/main">
        <a:xfrm xmlns:a="http://schemas.openxmlformats.org/drawingml/2006/main">
          <a:off x="609600" y="85725"/>
          <a:ext cx="866775" cy="333375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="horz" wrap="square" lIns="45720" tIns="45720" rIns="45720" bIns="45720" rtlCol="0" anchor="t" anchorCtr="0">
          <a:normAutofit/>
        </a:bodyPr>
        <a:lstStyle/>
        <a:p>
          <a:endParaRPr lang="zh-CN" altLang="en-US" sz="1100"/>
        </a:p>
      </cdr:txBody>
    </cdr:sp>
  </cdr:relSizeAnchor>
  <cdr:relSizeAnchor xmlns:cdr="http://schemas.openxmlformats.org/drawingml/2006/chartDrawing">
    <cdr:from>
      <cdr:x>0.0634622222222222</cdr:x>
      <cdr:y>0.0342070731707317</cdr:y>
    </cdr:from>
    <cdr:to>
      <cdr:x>0.144542222222222</cdr:x>
      <cdr:y>0.102667073170732</cdr:y>
    </cdr:to>
    <cdr:sp>
      <cdr:nvSpPr>
        <cdr:cNvPr id="3" name="矩形 2"/>
        <cdr:cNvSpPr/>
      </cdr:nvSpPr>
      <cdr:spPr xmlns:a="http://schemas.openxmlformats.org/drawingml/2006/main">
        <a:xfrm xmlns:a="http://schemas.openxmlformats.org/drawingml/2006/main">
          <a:off x="435224" y="133587"/>
          <a:ext cx="556047" cy="267353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="horz" wrap="square" lIns="45720" tIns="45720" rIns="45720" bIns="45720" rtlCol="0" anchor="t" anchorCtr="0">
          <a:normAutofit/>
        </a:bodyPr>
        <a:lstStyle/>
        <a:p>
          <a:r>
            <a:rPr lang="en-US" altLang="zh-CN" sz="1100"/>
            <a:t>%</a:t>
          </a:r>
          <a:endParaRPr lang="zh-CN" altLang="en-US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0.10175</cdr:x>
      <cdr:y>0.022</cdr:y>
    </cdr:from>
    <cdr:to>
      <cdr:x>0.24642</cdr:x>
      <cdr:y>0.10758</cdr:y>
    </cdr:to>
    <cdr:sp>
      <cdr:nvSpPr>
        <cdr:cNvPr id="2" name="矩形 1"/>
        <cdr:cNvSpPr/>
      </cdr:nvSpPr>
      <cdr:spPr xmlns:a="http://schemas.openxmlformats.org/drawingml/2006/main">
        <a:xfrm xmlns:a="http://schemas.openxmlformats.org/drawingml/2006/main">
          <a:off x="609600" y="85725"/>
          <a:ext cx="866775" cy="333375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="horz" wrap="square" lIns="45720" tIns="45720" rIns="45720" bIns="45720" rtlCol="0" anchor="t" anchorCtr="0">
          <a:normAutofit/>
        </a:bodyPr>
        <a:lstStyle>
          <a:defPPr>
            <a:defRPr lang="zh-CN"/>
          </a:defPPr>
          <a:lvl1pPr marL="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9pPr>
        </a:lstStyle>
        <a:p>
          <a:endParaRPr lang="zh-CN" altLang="en-US" sz="1100"/>
        </a:p>
      </cdr:txBody>
    </cdr:sp>
  </cdr:relSizeAnchor>
  <cdr:relSizeAnchor xmlns:cdr="http://schemas.openxmlformats.org/drawingml/2006/chartDrawing">
    <cdr:from>
      <cdr:x>0.09539</cdr:x>
      <cdr:y>0.02445</cdr:y>
    </cdr:from>
    <cdr:to>
      <cdr:x>0.31002</cdr:x>
      <cdr:y>0.10269</cdr:y>
    </cdr:to>
    <cdr:sp>
      <cdr:nvSpPr>
        <cdr:cNvPr id="3" name="矩形 2"/>
        <cdr:cNvSpPr/>
      </cdr:nvSpPr>
      <cdr:spPr xmlns:a="http://schemas.openxmlformats.org/drawingml/2006/main">
        <a:xfrm xmlns:a="http://schemas.openxmlformats.org/drawingml/2006/main">
          <a:off x="571500" y="95250"/>
          <a:ext cx="1285875" cy="304800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="horz" wrap="square" lIns="45720" tIns="45720" rIns="45720" bIns="45720" rtlCol="0" anchor="t" anchorCtr="0">
          <a:normAutofit/>
        </a:bodyPr>
        <a:lstStyle>
          <a:defPPr>
            <a:defRPr lang="zh-CN"/>
          </a:defPPr>
          <a:lvl1pPr marL="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9pPr>
        </a:lstStyle>
        <a:p>
          <a:r>
            <a:rPr lang="zh-CN" altLang="en-US" sz="1100"/>
            <a:t>亿元</a:t>
          </a:r>
          <a:endParaRPr lang="zh-CN" altLang="en-US" sz="1100"/>
        </a:p>
      </cdr:txBody>
    </cdr:sp>
  </cdr:relSizeAnchor>
  <cdr:relSizeAnchor xmlns:cdr="http://schemas.openxmlformats.org/drawingml/2006/chartDrawing">
    <cdr:from>
      <cdr:x>0.8968</cdr:x>
      <cdr:y>0.03421</cdr:y>
    </cdr:from>
    <cdr:to>
      <cdr:x>0.97788</cdr:x>
      <cdr:y>0.10267</cdr:y>
    </cdr:to>
    <cdr:sp>
      <cdr:nvSpPr>
        <cdr:cNvPr id="4" name="矩形 3"/>
        <cdr:cNvSpPr/>
      </cdr:nvSpPr>
      <cdr:spPr xmlns:a="http://schemas.openxmlformats.org/drawingml/2006/main">
        <a:xfrm xmlns:a="http://schemas.openxmlformats.org/drawingml/2006/main">
          <a:off x="6150224" y="133587"/>
          <a:ext cx="556047" cy="267353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="horz" wrap="square" lIns="45720" tIns="45720" rIns="45720" bIns="45720" rtlCol="0" anchor="t" anchorCtr="0">
          <a:normAutofit/>
        </a:bodyPr>
        <a:lstStyle>
          <a:defPPr>
            <a:defRPr lang="zh-CN"/>
          </a:defPPr>
          <a:lvl1pPr marL="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9pPr>
        </a:lstStyle>
        <a:p>
          <a:r>
            <a:rPr lang="en-US" altLang="zh-CN" sz="1100"/>
            <a:t>%</a:t>
          </a:r>
          <a:endParaRPr lang="zh-CN" altLang="en-US" sz="1100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0.90417</cdr:x>
      <cdr:y>0.01736</cdr:y>
    </cdr:from>
    <cdr:to>
      <cdr:x>0.96817</cdr:x>
      <cdr:y>0.10404</cdr:y>
    </cdr:to>
    <cdr:pic xmlns:a="http://schemas.openxmlformats.org/drawingml/2006/main">
      <cdr:nvPicPr>
        <cdr:cNvPr id="2" name="图片 1"/>
        <cdr:cNvPicPr/>
      </cdr:nvPicPr>
      <cdr:blipFill>
        <a:blip xmlns:r="http://schemas.openxmlformats.org/officeDocument/2006/relationships" r:embed="rId1"/>
        <a:stretch>
          <a:fillRect/>
        </a:stretch>
      </cdr:blipFill>
      <cdr:spPr>
        <a:xfrm>
          <a:off x="4133850" y="47625"/>
          <a:ext cx="292633" cy="237765"/>
        </a:xfrm>
        <a:prstGeom prst="rect">
          <a:avLst/>
        </a:prstGeom>
      </cdr:spPr>
    </cdr:pic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0.10175</cdr:x>
      <cdr:y>0.022</cdr:y>
    </cdr:from>
    <cdr:to>
      <cdr:x>0.24642</cdr:x>
      <cdr:y>0.10758</cdr:y>
    </cdr:to>
    <cdr:sp>
      <cdr:nvSpPr>
        <cdr:cNvPr id="2" name="矩形 1"/>
        <cdr:cNvSpPr/>
      </cdr:nvSpPr>
      <cdr:spPr xmlns:a="http://schemas.openxmlformats.org/drawingml/2006/main">
        <a:xfrm xmlns:a="http://schemas.openxmlformats.org/drawingml/2006/main">
          <a:off x="609600" y="85725"/>
          <a:ext cx="866775" cy="333375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="horz" wrap="square" lIns="45720" tIns="45720" rIns="45720" bIns="45720" rtlCol="0" anchor="t" anchorCtr="0">
          <a:normAutofit/>
        </a:bodyPr>
        <a:lstStyle/>
        <a:p>
          <a:endParaRPr lang="zh-CN" altLang="en-US" sz="1100"/>
        </a:p>
      </cdr:txBody>
    </cdr:sp>
  </cdr:relSizeAnchor>
  <cdr:relSizeAnchor xmlns:cdr="http://schemas.openxmlformats.org/drawingml/2006/chartDrawing">
    <cdr:from>
      <cdr:x>0.09539</cdr:x>
      <cdr:y>0.02445</cdr:y>
    </cdr:from>
    <cdr:to>
      <cdr:x>0.31002</cdr:x>
      <cdr:y>0.10269</cdr:y>
    </cdr:to>
    <cdr:sp>
      <cdr:nvSpPr>
        <cdr:cNvPr id="3" name="矩形 2"/>
        <cdr:cNvSpPr/>
      </cdr:nvSpPr>
      <cdr:spPr xmlns:a="http://schemas.openxmlformats.org/drawingml/2006/main">
        <a:xfrm xmlns:a="http://schemas.openxmlformats.org/drawingml/2006/main">
          <a:off x="571500" y="95250"/>
          <a:ext cx="1285875" cy="304800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="horz" wrap="square" lIns="45720" tIns="45720" rIns="45720" bIns="45720" rtlCol="0" anchor="t" anchorCtr="0">
          <a:normAutofit/>
        </a:bodyPr>
        <a:lstStyle/>
        <a:p>
          <a:r>
            <a:rPr lang="zh-CN" altLang="en-US" sz="1100"/>
            <a:t>万元</a:t>
          </a:r>
          <a:endParaRPr lang="zh-CN" altLang="en-US" sz="1100"/>
        </a:p>
      </cdr:txBody>
    </cdr:sp>
  </cdr:relSizeAnchor>
  <cdr:relSizeAnchor xmlns:cdr="http://schemas.openxmlformats.org/drawingml/2006/chartDrawing">
    <cdr:from>
      <cdr:x>0.85374</cdr:x>
      <cdr:y>0.02689</cdr:y>
    </cdr:from>
    <cdr:to>
      <cdr:x>0.93482</cdr:x>
      <cdr:y>0.09535</cdr:y>
    </cdr:to>
    <cdr:sp>
      <cdr:nvSpPr>
        <cdr:cNvPr id="4" name="矩形 3"/>
        <cdr:cNvSpPr/>
      </cdr:nvSpPr>
      <cdr:spPr xmlns:a="http://schemas.openxmlformats.org/drawingml/2006/main">
        <a:xfrm xmlns:a="http://schemas.openxmlformats.org/drawingml/2006/main">
          <a:off x="5114926" y="104775"/>
          <a:ext cx="485775" cy="266700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="horz" wrap="square" lIns="45720" tIns="45720" rIns="45720" bIns="45720" rtlCol="0" anchor="t" anchorCtr="0">
          <a:normAutofit/>
        </a:bodyPr>
        <a:lstStyle/>
        <a:p>
          <a:r>
            <a:rPr lang="en-US" altLang="zh-CN" sz="1100"/>
            <a:t>%</a:t>
          </a:r>
          <a:endParaRPr lang="zh-CN" altLang="en-US" sz="1100"/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0.10175</cdr:x>
      <cdr:y>0.022</cdr:y>
    </cdr:from>
    <cdr:to>
      <cdr:x>0.24642</cdr:x>
      <cdr:y>0.10758</cdr:y>
    </cdr:to>
    <cdr:sp>
      <cdr:nvSpPr>
        <cdr:cNvPr id="2" name="矩形 1"/>
        <cdr:cNvSpPr/>
      </cdr:nvSpPr>
      <cdr:spPr xmlns:a="http://schemas.openxmlformats.org/drawingml/2006/main">
        <a:xfrm xmlns:a="http://schemas.openxmlformats.org/drawingml/2006/main">
          <a:off x="609600" y="85725"/>
          <a:ext cx="866775" cy="333375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="horz" wrap="square" lIns="45720" tIns="45720" rIns="45720" bIns="45720" rtlCol="0" anchor="t" anchorCtr="0">
          <a:normAutofit/>
        </a:bodyPr>
        <a:lstStyle/>
        <a:p>
          <a:endParaRPr lang="zh-CN" altLang="en-US" sz="1100"/>
        </a:p>
      </cdr:txBody>
    </cdr:sp>
  </cdr:relSizeAnchor>
  <cdr:relSizeAnchor xmlns:cdr="http://schemas.openxmlformats.org/drawingml/2006/chartDrawing">
    <cdr:from>
      <cdr:x>0.01136</cdr:x>
      <cdr:y>0.02689</cdr:y>
    </cdr:from>
    <cdr:to>
      <cdr:x>0.22599</cdr:x>
      <cdr:y>0.10513</cdr:y>
    </cdr:to>
    <cdr:sp>
      <cdr:nvSpPr>
        <cdr:cNvPr id="3" name="矩形 2"/>
        <cdr:cNvSpPr/>
      </cdr:nvSpPr>
      <cdr:spPr xmlns:a="http://schemas.openxmlformats.org/drawingml/2006/main">
        <a:xfrm xmlns:a="http://schemas.openxmlformats.org/drawingml/2006/main">
          <a:off x="77233" y="105008"/>
          <a:ext cx="1459666" cy="305547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="horz" wrap="square" lIns="45720" tIns="45720" rIns="45720" bIns="45720" rtlCol="0" anchor="t" anchorCtr="0">
          <a:normAutofit/>
        </a:bodyPr>
        <a:lstStyle/>
        <a:p>
          <a:r>
            <a:rPr lang="zh-CN" altLang="en-US" sz="1100"/>
            <a:t>单位：万元</a:t>
          </a:r>
          <a:endParaRPr lang="zh-CN" altLang="en-US" sz="1100"/>
        </a:p>
      </cdr:txBody>
    </cdr:sp>
  </cdr:relSizeAnchor>
  <cdr:relSizeAnchor xmlns:cdr="http://schemas.openxmlformats.org/drawingml/2006/chartDrawing">
    <cdr:from>
      <cdr:x>0.91892</cdr:x>
      <cdr:y>0.03909</cdr:y>
    </cdr:from>
    <cdr:to>
      <cdr:x>1</cdr:x>
      <cdr:y>0.10755</cdr:y>
    </cdr:to>
    <cdr:sp>
      <cdr:nvSpPr>
        <cdr:cNvPr id="4" name="矩形 3"/>
        <cdr:cNvSpPr/>
      </cdr:nvSpPr>
      <cdr:spPr xmlns:a="http://schemas.openxmlformats.org/drawingml/2006/main">
        <a:xfrm xmlns:a="http://schemas.openxmlformats.org/drawingml/2006/main">
          <a:off x="6249437" y="152637"/>
          <a:ext cx="551413" cy="267353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="horz" wrap="square" lIns="45720" tIns="45720" rIns="45720" bIns="45720" rtlCol="0" anchor="t" anchorCtr="0">
          <a:normAutofit/>
        </a:bodyPr>
        <a:lstStyle/>
        <a:p>
          <a:r>
            <a:rPr lang="en-US" altLang="zh-CN" sz="1100"/>
            <a:t>%</a:t>
          </a:r>
          <a:endParaRPr lang="zh-CN" altLang="en-US" sz="1100"/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0.10175</cdr:x>
      <cdr:y>0.022</cdr:y>
    </cdr:from>
    <cdr:to>
      <cdr:x>0.24642</cdr:x>
      <cdr:y>0.10758</cdr:y>
    </cdr:to>
    <cdr:sp>
      <cdr:nvSpPr>
        <cdr:cNvPr id="2" name="矩形 1"/>
        <cdr:cNvSpPr/>
      </cdr:nvSpPr>
      <cdr:spPr xmlns:a="http://schemas.openxmlformats.org/drawingml/2006/main">
        <a:xfrm xmlns:a="http://schemas.openxmlformats.org/drawingml/2006/main">
          <a:off x="609600" y="85725"/>
          <a:ext cx="866775" cy="333375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="horz" wrap="square" lIns="45720" tIns="45720" rIns="45720" bIns="45720" rtlCol="0" anchor="t" anchorCtr="0">
          <a:normAutofit/>
        </a:bodyPr>
        <a:lstStyle/>
        <a:p>
          <a:endParaRPr lang="zh-CN" altLang="en-US" sz="1100"/>
        </a:p>
      </cdr:txBody>
    </cdr:sp>
  </cdr:relSizeAnchor>
  <cdr:relSizeAnchor xmlns:cdr="http://schemas.openxmlformats.org/drawingml/2006/chartDrawing">
    <cdr:from>
      <cdr:x>0.09539</cdr:x>
      <cdr:y>0.02445</cdr:y>
    </cdr:from>
    <cdr:to>
      <cdr:x>0.31002</cdr:x>
      <cdr:y>0.10269</cdr:y>
    </cdr:to>
    <cdr:sp>
      <cdr:nvSpPr>
        <cdr:cNvPr id="3" name="矩形 2"/>
        <cdr:cNvSpPr/>
      </cdr:nvSpPr>
      <cdr:spPr xmlns:a="http://schemas.openxmlformats.org/drawingml/2006/main">
        <a:xfrm xmlns:a="http://schemas.openxmlformats.org/drawingml/2006/main">
          <a:off x="571500" y="95250"/>
          <a:ext cx="1285875" cy="304800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="horz" wrap="square" lIns="45720" tIns="45720" rIns="45720" bIns="45720" rtlCol="0" anchor="t" anchorCtr="0">
          <a:normAutofit/>
        </a:bodyPr>
        <a:lstStyle/>
        <a:p>
          <a:r>
            <a:rPr lang="zh-CN" altLang="en-US" sz="1100"/>
            <a:t>元</a:t>
          </a:r>
          <a:endParaRPr lang="zh-CN" altLang="en-US" sz="1100"/>
        </a:p>
      </cdr:txBody>
    </cdr:sp>
  </cdr:relSizeAnchor>
  <cdr:relSizeAnchor xmlns:cdr="http://schemas.openxmlformats.org/drawingml/2006/chartDrawing">
    <cdr:from>
      <cdr:x>0.896795555555556</cdr:x>
      <cdr:y>0.0342070731707317</cdr:y>
    </cdr:from>
    <cdr:to>
      <cdr:x>0.977875555555556</cdr:x>
      <cdr:y>0.102667073170732</cdr:y>
    </cdr:to>
    <cdr:sp>
      <cdr:nvSpPr>
        <cdr:cNvPr id="4" name="矩形 3"/>
        <cdr:cNvSpPr/>
      </cdr:nvSpPr>
      <cdr:spPr xmlns:a="http://schemas.openxmlformats.org/drawingml/2006/main">
        <a:xfrm xmlns:a="http://schemas.openxmlformats.org/drawingml/2006/main">
          <a:off x="6150224" y="133587"/>
          <a:ext cx="556047" cy="267353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="horz" wrap="square" lIns="45720" tIns="45720" rIns="45720" bIns="45720" rtlCol="0" anchor="t" anchorCtr="0">
          <a:normAutofit/>
        </a:bodyPr>
        <a:lstStyle/>
        <a:p>
          <a:r>
            <a:rPr lang="en-US" altLang="zh-CN" sz="1100"/>
            <a:t>%</a:t>
          </a:r>
          <a:endParaRPr lang="zh-CN" alt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44856-4A44-4EFF-BEA2-F82FD7C4C1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961</Words>
  <Characters>5480</Characters>
  <Lines>45</Lines>
  <Paragraphs>12</Paragraphs>
  <TotalTime>60</TotalTime>
  <ScaleCrop>false</ScaleCrop>
  <LinksUpToDate>false</LinksUpToDate>
  <CharactersWithSpaces>6429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2022-02-15T07:41:00Z</dcterms:created>
  <dc:creator>Microsoft</dc:creator>
  <cp:lastModifiedBy>时光清浅</cp:lastModifiedBy>
  <cp:lastPrinted>2024-04-12T01:18:00Z</cp:lastPrinted>
  <dcterms:modified xsi:type="dcterms:W3CDTF">2024-04-18T01:23:20Z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B86697AB1809405786546D021998D5F4</vt:lpwstr>
  </property>
</Properties>
</file>