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24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晋城市城区2020-2021年秋冬季大气污染综合治理攻坚行动方案任务清单</w:t>
      </w:r>
    </w:p>
    <w:p>
      <w:pPr>
        <w:spacing w:line="240" w:lineRule="exact"/>
        <w:rPr>
          <w:rFonts w:hint="eastAsia"/>
        </w:rPr>
      </w:pPr>
    </w:p>
    <w:tbl>
      <w:tblPr>
        <w:tblStyle w:val="3"/>
        <w:tblW w:w="13194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79"/>
        <w:gridCol w:w="1199"/>
        <w:gridCol w:w="1671"/>
        <w:gridCol w:w="1771"/>
        <w:gridCol w:w="5237"/>
        <w:gridCol w:w="223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重点工作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主要任务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完成时限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  程  措  施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责任单位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产业结构调整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产业布局调整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建成区及周边重污染企业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搬迁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instrText xml:space="preserve"> HYPERLINK "https://www.baidu.com/link?url=_wvot9LVtQziplJOOZ3Y_Nvj6E_g_FcFNljcKUc3abhKeWROhYsfCAXeqt4soeey&amp;wd=&amp;eqid=c9e2d82d005dab1a000000025e3031e8" \o "" </w:instrTex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晋城市春晨兴汇实业有限公司（15万吨）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fldChar w:fldCharType="end"/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区工信局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“散乱污”企业和集群综合整治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“散乱污”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企业、集群综合整治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长期坚持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持续开展“散乱污”企业和集群排查整治行动，坚决杜绝“散乱污”企业死灰复燃、异地转移等现象，对企业“散乱污”企业实施动态清零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区工信局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区民营经济局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工业源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污染治理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钢铁行业超低排放改造和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评估监测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2020年9月底前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晋城市金秋铸造有限公司完成有组织、无组织及清洁运输超低排放改造 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区工信局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无组织排放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治理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山西晋城晋普山煤矿完成物料堆场全封闭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南村镇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重点工业行业VOCs综合治理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源头替代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完成市下达的工业涂装企业低VOCs含量涂料替代任务；1家包装印刷企业完成低VOCs含量油墨替代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</w:tbl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晋城市城区2020-2021年秋冬季大气污染综合治理攻坚行动方案任务清单</w:t>
      </w:r>
    </w:p>
    <w:p/>
    <w:tbl>
      <w:tblPr>
        <w:tblStyle w:val="3"/>
        <w:tblW w:w="13179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79"/>
        <w:gridCol w:w="1199"/>
        <w:gridCol w:w="1671"/>
        <w:gridCol w:w="1771"/>
        <w:gridCol w:w="5237"/>
        <w:gridCol w:w="222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重点工作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主要任务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完成时限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  程  措  施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责任单位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产业结构调整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重点工业行业VOCs综合治理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巩固VOCs综合治理成效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持续开展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对全区涉177家VOCs企业，实施专项执法检查，巩固整治成果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旁路设置情况排查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针对石化、化工、工业涂装、包装印刷等重点行业废气排放系统旁路开展全面摸底排查，建立清单，取消非必要设置的旁路，因安全生产必要保留的，通过铅封、安装自动监控设施等方式加强监管，开启后及时向区生态环境分局报告并做好记录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油品储运销综合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治理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储罐排查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完成加油站、储油库油气回收专项检查。12月底完成成品油、有机化学品等涉VOCs物质储罐排查，建立台账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区商务局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自动监控设备安装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对已完成油气回收自动监控设备安装工作的2座加油站加大监管力度，确保设施稳定正常运行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能源结构调整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锅炉综合整治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淘汰燃煤锅炉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2020年9月底前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依法依规加大燃煤锅炉（含茶水炉、经营性炉灶、储粮烘干设备等燃煤设施）淘汰整治力度。实现每小时35蒸吨以下的燃煤锅炉动态清零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区市场监管局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在用锅炉达地标改造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2020年9月底前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全区133台保留锅炉稳定达到《山西省锅炉大气污染物排放标准》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运输结构调整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运输结构调整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老旧车淘汰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完成市下达的国三及以下营运柴油货车的淘汰任务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区交通局</w:t>
            </w:r>
          </w:p>
        </w:tc>
      </w:tr>
    </w:tbl>
    <w:p/>
    <w:p/>
    <w:p>
      <w:pPr>
        <w:spacing w:line="600" w:lineRule="exact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晋城市城区2020-2021年秋冬季大气污染综合治理攻坚行动方案任务清单</w:t>
      </w:r>
    </w:p>
    <w:p/>
    <w:tbl>
      <w:tblPr>
        <w:tblStyle w:val="3"/>
        <w:tblW w:w="13164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79"/>
        <w:gridCol w:w="1199"/>
        <w:gridCol w:w="1671"/>
        <w:gridCol w:w="1771"/>
        <w:gridCol w:w="5237"/>
        <w:gridCol w:w="220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重点工作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主要任务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完成时限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  程  措  施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责任单位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运输结构调整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车船燃油品质改善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油品和尿素质量抽查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完成市下达的辖区范围内抽检车用汽柴油批次任务，实现年度全覆盖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区市场监管局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在用车环境管理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在用车执法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监管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检查排放检验机构24家（次），实现排放检验机构监管全覆盖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在大宗物料运输（日载货车辆进出10辆次及以上）企业全部加装视频监控的基础上，所有重污染天气应急绩效分级A、B级企业按照门禁视频监控系统建设有关要求进一步进行完善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用地结构调整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露天矿山综合整治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开展露天矿山综合整治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开展露天矿山排查，建立台账。对南村镇鑫岩石灰岩矿有限公司、鑫祥源石灰岩矿有限公司、南村镇一鑫石灰岩矿有限公司、晋城市石佛山石灰岩开采有限公司4家露天矿山依法开展综合整治，对污染治理不规范的露天矿山，依法责令停产整治，不达标一律不得恢复生产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区自然资源局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全面完成矸石山摸底排查，建立台账。推进矸石山规范处置，杜绝自燃和冒烟现象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区自然资源局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完成钟家庄街道洞头村废弃石灰岩矿、西上庄街道东掩废弃石灰岩矿01、西上庄街道东掩废弃石灰岩矿02、西上庄街道东掩废弃石灰岩矿03、西上庄街道东掩村其他矿石堆、钟家庄街道后道村东废石堆、西上庄街道小东沟村废弃石灰岩矿、西上庄街道山西底村石灰岩废石堆等8处责任主体灭失露天矿山综合治理和生态修复任务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区自然资源局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</w:tbl>
    <w:p>
      <w:pPr>
        <w:rPr>
          <w:rFonts w:ascii="仿宋_GB2312" w:hAnsi="仿宋" w:eastAsia="仿宋_GB2312" w:cs="宋体"/>
          <w:kern w:val="0"/>
          <w:szCs w:val="21"/>
        </w:rPr>
      </w:pPr>
    </w:p>
    <w:p>
      <w:pPr>
        <w:spacing w:line="600" w:lineRule="exact"/>
        <w:jc w:val="center"/>
        <w:rPr>
          <w:rFonts w:ascii="仿宋_GB2312" w:hAnsi="仿宋" w:eastAsia="仿宋_GB2312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w w:val="85"/>
          <w:sz w:val="44"/>
          <w:szCs w:val="44"/>
        </w:rPr>
        <w:t>晋城市城区2020-2021年秋冬季大气污染综合治理攻坚行动方案任务清单</w:t>
      </w:r>
    </w:p>
    <w:p>
      <w:pPr>
        <w:rPr>
          <w:rFonts w:ascii="仿宋_GB2312" w:hAnsi="仿宋" w:eastAsia="仿宋_GB2312" w:cs="宋体"/>
          <w:kern w:val="0"/>
          <w:szCs w:val="21"/>
        </w:rPr>
      </w:pPr>
    </w:p>
    <w:tbl>
      <w:tblPr>
        <w:tblStyle w:val="3"/>
        <w:tblW w:w="13314" w:type="dxa"/>
        <w:jc w:val="center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79"/>
        <w:gridCol w:w="1199"/>
        <w:gridCol w:w="1671"/>
        <w:gridCol w:w="1771"/>
        <w:gridCol w:w="5237"/>
        <w:gridCol w:w="2357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类别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重点工作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主要任务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完成时限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  程  措  施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责任单位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用地结构调整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扬尘综合整治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道路扬尘综合整治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市区建成区道路机械化清扫率达到75%以上（主干道路机械化清扫率达到100%）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区市容环卫中心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强化降尘量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控制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长期坚持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每月平均降尘量小于9吨/月·平方公里，力争同比改善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各镇（街道）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秸秆综合利用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加强秸秆综合利用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秸秆综合利用率达到90%以上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区农业农村局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重污染天气应对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动态调整重污染天气应急减排清单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根据绩效分级评级变更情况动态调整减排清单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2020年12月底前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有变更需求的企业，可提出变更申请，对2020年重污染天气应急减排清单进行动态调整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错峰生产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错峰生产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2021年3月底前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按照山西省大气污染防治条例及空气质量改善需求，精准开展错峰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区工信局</w:t>
            </w:r>
          </w:p>
          <w:p>
            <w:pPr>
              <w:widowControl/>
              <w:spacing w:line="240" w:lineRule="exac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区生态环境分局</w:t>
            </w:r>
          </w:p>
        </w:tc>
      </w:tr>
    </w:tbl>
    <w:p/>
    <w:p>
      <w:pPr>
        <w:spacing w:line="600" w:lineRule="exact"/>
        <w:rPr>
          <w:rFonts w:hint="eastAsia" w:ascii="方正小标宋简体" w:eastAsia="方正小标宋简体"/>
          <w:bCs/>
          <w:sz w:val="32"/>
          <w:szCs w:val="32"/>
        </w:rPr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2098" w:bottom="1474" w:left="1814" w:header="851" w:footer="1418" w:gutter="0"/>
          <w:pgNumType w:fmt="numberInDash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3865"/>
    <w:rsid w:val="4D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2021-01-11T03:20:00Z</dcterms:created>
  <dc:creator>霞光飞扬</dc:creator>
  <cp:lastModifiedBy>霞光飞扬</cp:lastModifiedBy>
  <dcterms:modified xsi:type="dcterms:W3CDTF">2021-01-11T03:21:14Z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758698276_btnclosed</vt:lpwstr>
  </property>
</Properties>
</file>